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8051"/>
        <w:gridCol w:w="7598"/>
        <w:gridCol w:w="425"/>
      </w:tblGrid>
      <w:tr w:rsidR="00A23A93" w:rsidRPr="00617F48" w:rsidTr="00A23A93">
        <w:trPr>
          <w:trHeight w:val="138"/>
        </w:trPr>
        <w:tc>
          <w:tcPr>
            <w:tcW w:w="16074" w:type="dxa"/>
            <w:gridSpan w:val="3"/>
            <w:shd w:val="clear" w:color="auto" w:fill="9F218B"/>
          </w:tcPr>
          <w:p w:rsidR="00A23A93" w:rsidRPr="006B4439" w:rsidRDefault="00A23A93" w:rsidP="006A2FFA">
            <w:pPr>
              <w:pStyle w:val="NormalWeb"/>
              <w:spacing w:before="0" w:beforeAutospacing="0" w:after="0" w:afterAutospacing="0"/>
              <w:rPr>
                <w:rFonts w:ascii="Arial" w:hAnsi="Arial" w:cs="Arial"/>
                <w:sz w:val="16"/>
                <w:szCs w:val="16"/>
              </w:rPr>
            </w:pPr>
            <w:bookmarkStart w:id="0" w:name="_GoBack"/>
            <w:bookmarkEnd w:id="0"/>
          </w:p>
        </w:tc>
      </w:tr>
      <w:tr w:rsidR="00712679" w:rsidRPr="003F5AA0" w:rsidTr="00A23A93">
        <w:tc>
          <w:tcPr>
            <w:tcW w:w="8051" w:type="dxa"/>
            <w:shd w:val="clear" w:color="auto" w:fill="9F218B"/>
          </w:tcPr>
          <w:p w:rsidR="00712679" w:rsidRPr="003F5AA0" w:rsidRDefault="00712679" w:rsidP="00443608">
            <w:pPr>
              <w:tabs>
                <w:tab w:val="left" w:pos="4253"/>
              </w:tabs>
              <w:rPr>
                <w:rFonts w:ascii="Bebas Neue" w:hAnsi="Bebas Neue" w:cs="Arial"/>
                <w:color w:val="FFFFFF" w:themeColor="background1"/>
                <w:sz w:val="44"/>
                <w:szCs w:val="44"/>
              </w:rPr>
            </w:pPr>
            <w:r w:rsidRPr="003F5AA0">
              <w:rPr>
                <w:rFonts w:ascii="Bebas Neue" w:hAnsi="Bebas Neue" w:cs="Arial"/>
                <w:noProof/>
                <w:color w:val="FFFFFF" w:themeColor="background1"/>
                <w:sz w:val="44"/>
                <w:szCs w:val="44"/>
                <w:lang w:eastAsia="en-AU"/>
              </w:rPr>
              <w:drawing>
                <wp:inline distT="0" distB="0" distL="0" distR="0" wp14:anchorId="19E9FEC8" wp14:editId="40E00637">
                  <wp:extent cx="1933575" cy="58373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_white_logo.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3575" cy="583737"/>
                          </a:xfrm>
                          <a:prstGeom prst="rect">
                            <a:avLst/>
                          </a:prstGeom>
                        </pic:spPr>
                      </pic:pic>
                    </a:graphicData>
                  </a:graphic>
                </wp:inline>
              </w:drawing>
            </w:r>
          </w:p>
          <w:p w:rsidR="0033627A" w:rsidRPr="003F5AA0" w:rsidRDefault="0033627A" w:rsidP="00552CBF">
            <w:pPr>
              <w:pStyle w:val="PageHeading"/>
              <w:rPr>
                <w:sz w:val="24"/>
                <w:szCs w:val="24"/>
              </w:rPr>
            </w:pPr>
            <w:r w:rsidRPr="003F5AA0">
              <w:t xml:space="preserve">JUDGING STANDARDS IN </w:t>
            </w:r>
            <w:r w:rsidR="0077567F" w:rsidRPr="003F5AA0">
              <w:t>Year 3</w:t>
            </w:r>
          </w:p>
          <w:p w:rsidR="00712679" w:rsidRPr="003F5AA0" w:rsidRDefault="004E6D7B" w:rsidP="00211E07">
            <w:pPr>
              <w:pStyle w:val="Pagesubheader"/>
              <w:framePr w:hSpace="0" w:wrap="auto" w:vAnchor="margin" w:hAnchor="text" w:yAlign="inline"/>
            </w:pPr>
            <w:r w:rsidRPr="003F5AA0">
              <w:t>Languages</w:t>
            </w:r>
            <w:r w:rsidR="00D877B3" w:rsidRPr="003F5AA0">
              <w:t xml:space="preserve"> </w:t>
            </w:r>
            <w:r w:rsidR="00211E07" w:rsidRPr="003F5AA0">
              <w:t>Indonesian</w:t>
            </w:r>
            <w:r w:rsidRPr="003F5AA0">
              <w:t>:</w:t>
            </w:r>
            <w:r w:rsidR="003A6540" w:rsidRPr="003F5AA0">
              <w:t xml:space="preserve"> second language</w:t>
            </w:r>
          </w:p>
        </w:tc>
        <w:tc>
          <w:tcPr>
            <w:tcW w:w="7598" w:type="dxa"/>
            <w:shd w:val="clear" w:color="auto" w:fill="auto"/>
            <w:vAlign w:val="center"/>
          </w:tcPr>
          <w:p w:rsidR="00AC004B" w:rsidRPr="003F5AA0" w:rsidRDefault="00AC004B" w:rsidP="000E765C">
            <w:pPr>
              <w:pStyle w:val="TableHeaderAssesmentPointer"/>
              <w:framePr w:hSpace="0" w:wrap="auto" w:vAnchor="margin" w:hAnchor="text" w:yAlign="inline"/>
              <w:tabs>
                <w:tab w:val="left" w:pos="313"/>
              </w:tabs>
              <w:spacing w:before="60" w:after="60"/>
            </w:pPr>
            <w:r w:rsidRPr="003F5AA0">
              <w:t>Assessment pointers validate teachers’ professional judgement when reporting against a five-point scale. The pointers:</w:t>
            </w:r>
          </w:p>
          <w:p w:rsidR="00AC004B" w:rsidRPr="003F5AA0" w:rsidRDefault="00AC004B" w:rsidP="000E765C">
            <w:pPr>
              <w:pStyle w:val="TableHeaderAssesmentPointer"/>
              <w:framePr w:hSpace="0" w:wrap="auto" w:vAnchor="margin" w:hAnchor="text" w:yAlign="inline"/>
              <w:numPr>
                <w:ilvl w:val="0"/>
                <w:numId w:val="1"/>
              </w:numPr>
              <w:tabs>
                <w:tab w:val="left" w:pos="313"/>
              </w:tabs>
              <w:spacing w:before="60" w:after="60"/>
            </w:pPr>
            <w:r w:rsidRPr="003F5AA0">
              <w:t>are examples of evidence in relation to the achievement standard</w:t>
            </w:r>
          </w:p>
          <w:p w:rsidR="00AC004B" w:rsidRPr="003F5AA0" w:rsidRDefault="00AC004B" w:rsidP="000E765C">
            <w:pPr>
              <w:pStyle w:val="TableHeaderAssesmentPointer"/>
              <w:framePr w:hSpace="0" w:wrap="auto" w:vAnchor="margin" w:hAnchor="text" w:yAlign="inline"/>
              <w:numPr>
                <w:ilvl w:val="0"/>
                <w:numId w:val="1"/>
              </w:numPr>
              <w:tabs>
                <w:tab w:val="left" w:pos="313"/>
              </w:tabs>
              <w:spacing w:before="60" w:after="60"/>
            </w:pPr>
            <w:r w:rsidRPr="003F5AA0">
              <w:t>should be used with the annotated student work samples</w:t>
            </w:r>
          </w:p>
          <w:p w:rsidR="00AC004B" w:rsidRPr="003F5AA0" w:rsidRDefault="00AC004B" w:rsidP="000E765C">
            <w:pPr>
              <w:pStyle w:val="TableHeaderAssesmentPointer"/>
              <w:framePr w:hSpace="0" w:wrap="auto" w:vAnchor="margin" w:hAnchor="text" w:yAlign="inline"/>
              <w:numPr>
                <w:ilvl w:val="0"/>
                <w:numId w:val="1"/>
              </w:numPr>
              <w:tabs>
                <w:tab w:val="left" w:pos="313"/>
              </w:tabs>
              <w:spacing w:before="60" w:after="60"/>
            </w:pPr>
            <w:r w:rsidRPr="003F5AA0">
              <w:t xml:space="preserve">exemplify what </w:t>
            </w:r>
            <w:r w:rsidRPr="003F5AA0">
              <w:rPr>
                <w:i/>
              </w:rPr>
              <w:t>students may demonstrate</w:t>
            </w:r>
            <w:r w:rsidRPr="003F5AA0">
              <w:t xml:space="preserve"> rather than a checklist of </w:t>
            </w:r>
            <w:r w:rsidRPr="003F5AA0">
              <w:rPr>
                <w:i/>
              </w:rPr>
              <w:t>everything they</w:t>
            </w:r>
          </w:p>
          <w:p w:rsidR="00712679" w:rsidRPr="003F5AA0" w:rsidRDefault="00AC004B" w:rsidP="000E765C">
            <w:pPr>
              <w:pStyle w:val="TableHeaderAssesmentPointer"/>
              <w:framePr w:hSpace="0" w:wrap="auto" w:vAnchor="margin" w:hAnchor="text" w:yAlign="inline"/>
              <w:tabs>
                <w:tab w:val="left" w:pos="313"/>
              </w:tabs>
              <w:spacing w:before="60" w:after="60"/>
              <w:ind w:left="313"/>
            </w:pPr>
            <w:r w:rsidRPr="003F5AA0">
              <w:rPr>
                <w:i/>
              </w:rPr>
              <w:t>should do</w:t>
            </w:r>
            <w:r w:rsidRPr="003F5AA0">
              <w:t>.</w:t>
            </w:r>
          </w:p>
        </w:tc>
        <w:tc>
          <w:tcPr>
            <w:tcW w:w="425" w:type="dxa"/>
            <w:shd w:val="clear" w:color="auto" w:fill="9F218B"/>
          </w:tcPr>
          <w:p w:rsidR="00712679" w:rsidRPr="003F5AA0" w:rsidRDefault="00712679" w:rsidP="006A2FFA">
            <w:pPr>
              <w:pStyle w:val="NormalWeb"/>
              <w:spacing w:before="120" w:beforeAutospacing="0" w:after="120" w:afterAutospacing="0"/>
              <w:rPr>
                <w:rFonts w:ascii="Arial" w:hAnsi="Arial" w:cs="Arial"/>
                <w:sz w:val="18"/>
                <w:szCs w:val="18"/>
              </w:rPr>
            </w:pPr>
          </w:p>
        </w:tc>
      </w:tr>
      <w:tr w:rsidR="00A23A93" w:rsidRPr="003F5AA0" w:rsidTr="00A23A93">
        <w:trPr>
          <w:trHeight w:val="81"/>
        </w:trPr>
        <w:tc>
          <w:tcPr>
            <w:tcW w:w="16074" w:type="dxa"/>
            <w:gridSpan w:val="3"/>
            <w:shd w:val="clear" w:color="auto" w:fill="9F218B"/>
          </w:tcPr>
          <w:p w:rsidR="00A23A93" w:rsidRPr="003F5AA0" w:rsidRDefault="00A23A93" w:rsidP="006A2FFA">
            <w:pPr>
              <w:pStyle w:val="NormalWeb"/>
              <w:spacing w:before="0" w:beforeAutospacing="0" w:after="0" w:afterAutospacing="0"/>
              <w:rPr>
                <w:rFonts w:ascii="Arial" w:hAnsi="Arial" w:cs="Arial"/>
                <w:sz w:val="16"/>
                <w:szCs w:val="16"/>
              </w:rPr>
            </w:pPr>
          </w:p>
        </w:tc>
      </w:tr>
      <w:tr w:rsidR="00712679" w:rsidRPr="003F5AA0" w:rsidTr="00A23A93">
        <w:trPr>
          <w:trHeight w:val="266"/>
        </w:trPr>
        <w:tc>
          <w:tcPr>
            <w:tcW w:w="16074" w:type="dxa"/>
            <w:gridSpan w:val="3"/>
            <w:shd w:val="clear" w:color="auto" w:fill="auto"/>
          </w:tcPr>
          <w:p w:rsidR="00712679" w:rsidRPr="003F5AA0" w:rsidRDefault="005F77EB" w:rsidP="00211E07">
            <w:pPr>
              <w:pStyle w:val="BodyHeading"/>
              <w:framePr w:hSpace="0" w:wrap="auto" w:vAnchor="margin" w:hAnchor="text" w:yAlign="inline"/>
            </w:pPr>
            <w:r w:rsidRPr="003F5AA0">
              <w:t xml:space="preserve">year 3 </w:t>
            </w:r>
            <w:r w:rsidR="00211E07" w:rsidRPr="003F5AA0">
              <w:t>Indonesian</w:t>
            </w:r>
            <w:r w:rsidR="004E6D7B" w:rsidRPr="003F5AA0">
              <w:t>:</w:t>
            </w:r>
            <w:r w:rsidRPr="003F5AA0">
              <w:t xml:space="preserve"> second language Achievement Standard</w:t>
            </w:r>
          </w:p>
        </w:tc>
      </w:tr>
      <w:tr w:rsidR="00712679" w:rsidRPr="003F5AA0" w:rsidTr="00A23A93">
        <w:trPr>
          <w:trHeight w:val="266"/>
        </w:trPr>
        <w:tc>
          <w:tcPr>
            <w:tcW w:w="16074" w:type="dxa"/>
            <w:gridSpan w:val="3"/>
            <w:shd w:val="clear" w:color="auto" w:fill="auto"/>
          </w:tcPr>
          <w:p w:rsidR="00F17EA7" w:rsidRPr="003F5AA0" w:rsidRDefault="00F17EA7" w:rsidP="00F17EA7">
            <w:pPr>
              <w:spacing w:before="120" w:after="120"/>
              <w:rPr>
                <w:rFonts w:eastAsia="SimSun"/>
              </w:rPr>
            </w:pPr>
            <w:r w:rsidRPr="003F5AA0">
              <w:rPr>
                <w:rFonts w:eastAsia="SimSun"/>
              </w:rPr>
              <w:t xml:space="preserve">At standard, students interact and socialise in Indonesian with their teacher and each other through class experiences, activities and everyday transactions, to exchange information about friends and family members. They use simple descriptive or expressive modelled language and gestures to provide information, ask questions and make statements, such as </w:t>
            </w:r>
            <w:r w:rsidRPr="003F5AA0">
              <w:rPr>
                <w:rFonts w:eastAsia="SimSun"/>
                <w:i/>
              </w:rPr>
              <w:t xml:space="preserve">Teman saya baik hati dan lucu </w:t>
            </w:r>
            <w:r w:rsidRPr="003F5AA0">
              <w:rPr>
                <w:rFonts w:eastAsia="SimSun"/>
              </w:rPr>
              <w:t xml:space="preserve">and </w:t>
            </w:r>
            <w:r w:rsidRPr="003F5AA0">
              <w:rPr>
                <w:rFonts w:eastAsia="SimSun"/>
                <w:i/>
              </w:rPr>
              <w:t>Kakak laki-laki saya senang berselancar.</w:t>
            </w:r>
            <w:r w:rsidRPr="003F5AA0">
              <w:rPr>
                <w:rFonts w:eastAsia="SimSun"/>
              </w:rPr>
              <w:t xml:space="preserve"> They locate specific points of information in a range of short texts and convey factual information about their personal worlds using familiar words in simple statements, short descriptions and modelled texts. Students participate in and respond to a range of imaginative texts, acting out events, identifying and comparing favourite elements, and making simple statements about characters or themes. They create and perform short imaginative texts that use familiar expressions and modelled language as well as simple visual supports. Students use some modelled strategies to t</w:t>
            </w:r>
            <w:r w:rsidRPr="003F5AA0">
              <w:rPr>
                <w:rFonts w:eastAsia="SimSun"/>
                <w:lang w:eastAsia="zh-CN"/>
              </w:rPr>
              <w:t>ranslate familiar words and most expressions in simple texts</w:t>
            </w:r>
            <w:r w:rsidRPr="003F5AA0">
              <w:rPr>
                <w:rFonts w:ascii="Calibri" w:eastAsia="SimSun" w:hAnsi="Calibri" w:cs="Calibri"/>
              </w:rPr>
              <w:t>. They identify similarities or differences to their own language and culture when interacting in Indonesian.</w:t>
            </w:r>
          </w:p>
          <w:p w:rsidR="00886B74" w:rsidRPr="003F5AA0" w:rsidRDefault="00F17EA7" w:rsidP="00F17EA7">
            <w:pPr>
              <w:spacing w:before="120" w:after="120"/>
              <w:rPr>
                <w:rFonts w:ascii="Calibri" w:hAnsi="Calibri"/>
              </w:rPr>
            </w:pPr>
            <w:r w:rsidRPr="003F5AA0">
              <w:rPr>
                <w:rFonts w:eastAsia="SimSun"/>
              </w:rPr>
              <w:t xml:space="preserve">Students reproduce the pronunciation conventions of Indonesian with a satisfactory level of accuracy. They use familiar vocabulary, expressions and short texts or simple narratives, and apply elements of grammar with a satisfactory level of accuracy. Students use pronouns, gender and adjectives to describe people and animals. They use cardinal numbers, such as </w:t>
            </w:r>
            <w:r w:rsidRPr="003F5AA0">
              <w:rPr>
                <w:rFonts w:eastAsia="SimSun"/>
                <w:i/>
              </w:rPr>
              <w:t xml:space="preserve">puluh </w:t>
            </w:r>
            <w:r w:rsidRPr="003F5AA0">
              <w:rPr>
                <w:rFonts w:eastAsia="SimSun"/>
              </w:rPr>
              <w:t xml:space="preserve">and </w:t>
            </w:r>
            <w:r w:rsidRPr="003F5AA0">
              <w:rPr>
                <w:rFonts w:eastAsia="SimSun"/>
                <w:i/>
              </w:rPr>
              <w:t>ratus</w:t>
            </w:r>
            <w:r w:rsidRPr="003F5AA0">
              <w:rPr>
                <w:rFonts w:eastAsia="SimSun"/>
              </w:rPr>
              <w:t xml:space="preserve"> and ordinal numbers using </w:t>
            </w:r>
            <w:r w:rsidRPr="003F5AA0">
              <w:rPr>
                <w:rFonts w:eastAsia="SimSun"/>
                <w:i/>
              </w:rPr>
              <w:t>ke-</w:t>
            </w:r>
            <w:r w:rsidRPr="003F5AA0">
              <w:rPr>
                <w:rFonts w:eastAsia="SimSun"/>
              </w:rPr>
              <w:t xml:space="preserve"> prefix to describe amounts, and create plurals by doubling nouns, such as </w:t>
            </w:r>
            <w:r w:rsidRPr="003F5AA0">
              <w:rPr>
                <w:rFonts w:eastAsia="SimSun"/>
                <w:i/>
              </w:rPr>
              <w:t>buku-buku</w:t>
            </w:r>
            <w:r w:rsidRPr="003F5AA0">
              <w:rPr>
                <w:rFonts w:eastAsia="SimSun"/>
              </w:rPr>
              <w:t xml:space="preserve">. Students use simple base and </w:t>
            </w:r>
            <w:r w:rsidRPr="003F5AA0">
              <w:rPr>
                <w:rFonts w:eastAsia="SimSun"/>
                <w:i/>
              </w:rPr>
              <w:t>ber-</w:t>
            </w:r>
            <w:r w:rsidRPr="003F5AA0">
              <w:rPr>
                <w:rFonts w:eastAsia="SimSun"/>
              </w:rPr>
              <w:t xml:space="preserve"> verbs to describe actions, such as </w:t>
            </w:r>
            <w:r w:rsidRPr="003F5AA0">
              <w:rPr>
                <w:rFonts w:eastAsia="SimSun"/>
                <w:i/>
              </w:rPr>
              <w:t>bangun, mandi, bermain</w:t>
            </w:r>
            <w:r w:rsidRPr="003F5AA0">
              <w:rPr>
                <w:rFonts w:eastAsia="SimSun"/>
              </w:rPr>
              <w:t xml:space="preserve"> and </w:t>
            </w:r>
            <w:r w:rsidRPr="003F5AA0">
              <w:rPr>
                <w:rFonts w:eastAsia="SimSun"/>
                <w:i/>
              </w:rPr>
              <w:t>berenang</w:t>
            </w:r>
            <w:r w:rsidRPr="003F5AA0">
              <w:rPr>
                <w:rFonts w:eastAsia="SimSun"/>
              </w:rPr>
              <w:t xml:space="preserve">. Students respond to imperatives, such as </w:t>
            </w:r>
            <w:r w:rsidRPr="003F5AA0">
              <w:rPr>
                <w:rFonts w:eastAsia="SimSun"/>
                <w:i/>
              </w:rPr>
              <w:t>Angkat tangan!</w:t>
            </w:r>
            <w:r w:rsidRPr="003F5AA0">
              <w:rPr>
                <w:rFonts w:eastAsia="SimSun"/>
              </w:rPr>
              <w:t xml:space="preserve"> and give praise, gratitude and encouragement, such as </w:t>
            </w:r>
            <w:r w:rsidRPr="003F5AA0">
              <w:rPr>
                <w:rFonts w:eastAsia="SimSun"/>
                <w:i/>
              </w:rPr>
              <w:t xml:space="preserve">coba, bagus sekali </w:t>
            </w:r>
            <w:r w:rsidRPr="003F5AA0">
              <w:rPr>
                <w:rFonts w:eastAsia="SimSun"/>
              </w:rPr>
              <w:t xml:space="preserve">and </w:t>
            </w:r>
            <w:r w:rsidRPr="003F5AA0">
              <w:rPr>
                <w:rFonts w:eastAsia="SimSun"/>
                <w:i/>
              </w:rPr>
              <w:t>terima kasih</w:t>
            </w:r>
            <w:r w:rsidRPr="003F5AA0">
              <w:rPr>
                <w:rFonts w:eastAsia="SimSun"/>
              </w:rPr>
              <w:t xml:space="preserve">. Students apply some of the same rules of punctuation as they are applied in English, such as using capital letters and full stops for sentences. They begin to describe their Indonesian learning experiences and use terms, such as verb, adjective and noun to talk about language and learning. They apply some of the language features and textual conventions in simple, familiar texts. Students show how the Indonesian language may need to be adjusted to suit different situations and relationships. They identify the </w:t>
            </w:r>
            <w:r w:rsidRPr="003F5AA0">
              <w:rPr>
                <w:rFonts w:ascii="Calibri" w:eastAsia="SimSun" w:hAnsi="Calibri" w:cs="Calibri"/>
              </w:rPr>
              <w:t>differences between Indonesian, Australian and other cultures’ practices and how these are reflected in language.</w:t>
            </w:r>
          </w:p>
        </w:tc>
      </w:tr>
      <w:tr w:rsidR="00712679" w:rsidRPr="003F5AA0" w:rsidTr="00A23A93">
        <w:trPr>
          <w:trHeight w:val="284"/>
        </w:trPr>
        <w:tc>
          <w:tcPr>
            <w:tcW w:w="16074" w:type="dxa"/>
            <w:gridSpan w:val="3"/>
            <w:shd w:val="clear" w:color="auto" w:fill="auto"/>
          </w:tcPr>
          <w:p w:rsidR="00712679" w:rsidRPr="003F5AA0" w:rsidRDefault="002A1586" w:rsidP="00F24670">
            <w:pPr>
              <w:pStyle w:val="NormalWeb"/>
              <w:spacing w:before="120" w:beforeAutospacing="0" w:after="120" w:afterAutospacing="0"/>
              <w:rPr>
                <w:rFonts w:ascii="Arial" w:hAnsi="Arial" w:cstheme="minorHAnsi"/>
                <w:sz w:val="16"/>
                <w:szCs w:val="16"/>
              </w:rPr>
            </w:pPr>
            <w:r w:rsidRPr="003F5AA0">
              <w:rPr>
                <w:rFonts w:ascii="Arial" w:hAnsi="Arial" w:cstheme="minorHAnsi"/>
                <w:sz w:val="16"/>
                <w:szCs w:val="16"/>
              </w:rPr>
              <w:t>201</w:t>
            </w:r>
            <w:r w:rsidR="00A23A93" w:rsidRPr="003F5AA0">
              <w:rPr>
                <w:rFonts w:ascii="Arial" w:hAnsi="Arial" w:cstheme="minorHAnsi"/>
                <w:sz w:val="16"/>
                <w:szCs w:val="16"/>
              </w:rPr>
              <w:t>6/</w:t>
            </w:r>
            <w:r w:rsidR="00211E07" w:rsidRPr="003F5AA0">
              <w:rPr>
                <w:rFonts w:ascii="Arial" w:hAnsi="Arial" w:cstheme="minorHAnsi"/>
                <w:sz w:val="16"/>
                <w:szCs w:val="16"/>
              </w:rPr>
              <w:t>3201</w:t>
            </w:r>
            <w:r w:rsidR="00A23A93" w:rsidRPr="003F5AA0">
              <w:rPr>
                <w:rFonts w:ascii="Arial" w:hAnsi="Arial" w:cstheme="minorHAnsi"/>
                <w:sz w:val="16"/>
                <w:szCs w:val="16"/>
              </w:rPr>
              <w:t xml:space="preserve">  [PDF 201</w:t>
            </w:r>
            <w:r w:rsidR="00BE3259" w:rsidRPr="003F5AA0">
              <w:rPr>
                <w:rFonts w:ascii="Arial" w:hAnsi="Arial" w:cstheme="minorHAnsi"/>
                <w:sz w:val="16"/>
                <w:szCs w:val="16"/>
              </w:rPr>
              <w:t>7</w:t>
            </w:r>
            <w:r w:rsidR="00A23A93" w:rsidRPr="003F5AA0">
              <w:rPr>
                <w:rFonts w:ascii="Arial" w:hAnsi="Arial" w:cstheme="minorHAnsi"/>
                <w:sz w:val="16"/>
                <w:szCs w:val="16"/>
              </w:rPr>
              <w:t>/</w:t>
            </w:r>
            <w:r w:rsidR="00F22288" w:rsidRPr="003F5AA0">
              <w:rPr>
                <w:rFonts w:ascii="Arial" w:hAnsi="Arial" w:cstheme="minorHAnsi"/>
                <w:sz w:val="16"/>
                <w:szCs w:val="16"/>
              </w:rPr>
              <w:t>18521</w:t>
            </w:r>
            <w:r w:rsidR="00712679" w:rsidRPr="003F5AA0">
              <w:rPr>
                <w:rFonts w:ascii="Arial" w:hAnsi="Arial" w:cstheme="minorHAnsi"/>
                <w:sz w:val="16"/>
                <w:szCs w:val="16"/>
              </w:rPr>
              <w:t xml:space="preserve">]  Published: </w:t>
            </w:r>
            <w:r w:rsidR="003B50A8">
              <w:rPr>
                <w:rFonts w:ascii="Arial" w:hAnsi="Arial" w:cstheme="minorHAnsi"/>
                <w:sz w:val="16"/>
                <w:szCs w:val="16"/>
              </w:rPr>
              <w:t>17 Jul</w:t>
            </w:r>
            <w:r w:rsidR="00F24670">
              <w:rPr>
                <w:rFonts w:ascii="Arial" w:hAnsi="Arial" w:cstheme="minorHAnsi"/>
                <w:sz w:val="16"/>
                <w:szCs w:val="16"/>
              </w:rPr>
              <w:t>y</w:t>
            </w:r>
            <w:r w:rsidR="00BE3259" w:rsidRPr="003F5AA0">
              <w:rPr>
                <w:rFonts w:ascii="Arial" w:hAnsi="Arial" w:cstheme="minorHAnsi"/>
                <w:sz w:val="16"/>
                <w:szCs w:val="16"/>
              </w:rPr>
              <w:t>, 2017</w:t>
            </w:r>
          </w:p>
        </w:tc>
      </w:tr>
    </w:tbl>
    <w:p w:rsidR="005F77EB" w:rsidRPr="003F5AA0" w:rsidRDefault="00886B74">
      <w:pPr>
        <w:rPr>
          <w:rFonts w:ascii="Arial" w:hAnsi="Arial" w:cs="Arial"/>
          <w:sz w:val="4"/>
          <w:szCs w:val="4"/>
        </w:rPr>
      </w:pPr>
      <w:r w:rsidRPr="003F5AA0">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5F77EB" w:rsidRPr="003F5AA0" w:rsidTr="0079284F">
        <w:trPr>
          <w:trHeight w:val="283"/>
        </w:trPr>
        <w:tc>
          <w:tcPr>
            <w:tcW w:w="16074" w:type="dxa"/>
            <w:shd w:val="clear" w:color="auto" w:fill="auto"/>
          </w:tcPr>
          <w:p w:rsidR="005F77EB" w:rsidRPr="003F5AA0" w:rsidRDefault="005F77EB" w:rsidP="00211E07">
            <w:pPr>
              <w:pStyle w:val="BodyHeading"/>
              <w:framePr w:hSpace="0" w:wrap="auto" w:vAnchor="margin" w:hAnchor="text" w:yAlign="inline"/>
              <w:rPr>
                <w:rFonts w:ascii="Arial" w:hAnsi="Arial"/>
                <w:sz w:val="16"/>
                <w:szCs w:val="16"/>
              </w:rPr>
            </w:pPr>
            <w:r w:rsidRPr="003F5AA0">
              <w:lastRenderedPageBreak/>
              <w:t xml:space="preserve">Year 3 </w:t>
            </w:r>
            <w:r w:rsidR="00211E07" w:rsidRPr="003F5AA0">
              <w:t>Indonesian</w:t>
            </w:r>
            <w:r w:rsidR="004E6D7B" w:rsidRPr="003F5AA0">
              <w:t>:</w:t>
            </w:r>
            <w:r w:rsidRPr="003F5AA0">
              <w:t xml:space="preserve"> second language Assessment pointers</w:t>
            </w:r>
          </w:p>
        </w:tc>
      </w:tr>
      <w:tr w:rsidR="005F77EB" w:rsidRPr="003F5AA0" w:rsidTr="0079284F">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5F77EB" w:rsidRPr="003F5AA0" w:rsidTr="0079284F">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5F77EB" w:rsidRPr="003F5AA0" w:rsidRDefault="005F77EB" w:rsidP="005F77EB">
                  <w:pPr>
                    <w:framePr w:hSpace="180" w:wrap="around" w:vAnchor="text" w:hAnchor="margin" w:y="-314"/>
                    <w:spacing w:before="60" w:after="60"/>
                    <w:rPr>
                      <w:rFonts w:cs="Arial"/>
                      <w:b w:val="0"/>
                      <w:sz w:val="24"/>
                      <w:szCs w:val="24"/>
                    </w:rPr>
                  </w:pPr>
                </w:p>
              </w:tc>
              <w:tc>
                <w:tcPr>
                  <w:tcW w:w="2621" w:type="dxa"/>
                  <w:tcBorders>
                    <w:bottom w:val="single" w:sz="4" w:space="0" w:color="9F218B"/>
                  </w:tcBorders>
                  <w:shd w:val="clear" w:color="auto" w:fill="9F218B"/>
                  <w:vAlign w:val="center"/>
                </w:tcPr>
                <w:p w:rsidR="005F77EB" w:rsidRPr="003F5AA0"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A</w:t>
                  </w:r>
                </w:p>
                <w:p w:rsidR="005F77EB" w:rsidRPr="003F5AA0"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3F5AA0">
                    <w:rPr>
                      <w:rFonts w:cs="Arial"/>
                    </w:rPr>
                    <w:t>Excellent achievement</w:t>
                  </w:r>
                </w:p>
              </w:tc>
              <w:tc>
                <w:tcPr>
                  <w:tcW w:w="2621" w:type="dxa"/>
                  <w:tcBorders>
                    <w:bottom w:val="single" w:sz="4" w:space="0" w:color="9F218B"/>
                  </w:tcBorders>
                  <w:shd w:val="clear" w:color="auto" w:fill="9F218B"/>
                  <w:vAlign w:val="center"/>
                </w:tcPr>
                <w:p w:rsidR="005F77EB" w:rsidRPr="003F5AA0"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B</w:t>
                  </w:r>
                </w:p>
                <w:p w:rsidR="005F77EB" w:rsidRPr="003F5AA0"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rPr>
                    <w:t>High achievement</w:t>
                  </w:r>
                </w:p>
              </w:tc>
              <w:tc>
                <w:tcPr>
                  <w:tcW w:w="2620" w:type="dxa"/>
                  <w:tcBorders>
                    <w:bottom w:val="single" w:sz="4" w:space="0" w:color="9F218B"/>
                  </w:tcBorders>
                  <w:shd w:val="clear" w:color="auto" w:fill="9F218B"/>
                  <w:vAlign w:val="center"/>
                </w:tcPr>
                <w:p w:rsidR="005F77EB" w:rsidRPr="003F5AA0"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C</w:t>
                  </w:r>
                </w:p>
                <w:p w:rsidR="005F77EB" w:rsidRPr="003F5AA0"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3F5AA0">
                    <w:rPr>
                      <w:rFonts w:cs="Arial"/>
                    </w:rPr>
                    <w:t>Satisfactory achievement</w:t>
                  </w:r>
                </w:p>
              </w:tc>
              <w:tc>
                <w:tcPr>
                  <w:tcW w:w="2621" w:type="dxa"/>
                  <w:tcBorders>
                    <w:bottom w:val="single" w:sz="4" w:space="0" w:color="9F218B"/>
                  </w:tcBorders>
                  <w:shd w:val="clear" w:color="auto" w:fill="9F218B"/>
                  <w:vAlign w:val="center"/>
                </w:tcPr>
                <w:p w:rsidR="005F77EB" w:rsidRPr="003F5AA0"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D</w:t>
                  </w:r>
                </w:p>
                <w:p w:rsidR="005F77EB" w:rsidRPr="003F5AA0"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rPr>
                    <w:t>Limited achievement</w:t>
                  </w:r>
                </w:p>
              </w:tc>
              <w:tc>
                <w:tcPr>
                  <w:tcW w:w="2621" w:type="dxa"/>
                  <w:tcBorders>
                    <w:bottom w:val="single" w:sz="4" w:space="0" w:color="9F218B"/>
                  </w:tcBorders>
                  <w:shd w:val="clear" w:color="auto" w:fill="9F218B"/>
                  <w:vAlign w:val="center"/>
                </w:tcPr>
                <w:p w:rsidR="005F77EB" w:rsidRPr="003F5AA0"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E</w:t>
                  </w:r>
                </w:p>
                <w:p w:rsidR="005F77EB" w:rsidRPr="003F5AA0"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rPr>
                    <w:t>Very low achievement</w:t>
                  </w:r>
                </w:p>
              </w:tc>
            </w:tr>
            <w:tr w:rsidR="005F77EB" w:rsidRPr="003F5AA0" w:rsidTr="00937DF6">
              <w:trPr>
                <w:trHeight w:val="397"/>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5F77EB" w:rsidRPr="003F5AA0" w:rsidRDefault="005F77EB" w:rsidP="005F77EB">
                  <w:pPr>
                    <w:pStyle w:val="TableSideHeader"/>
                    <w:framePr w:wrap="around"/>
                    <w:rPr>
                      <w:szCs w:val="18"/>
                    </w:rPr>
                  </w:pPr>
                  <w:r w:rsidRPr="003F5AA0">
                    <w:rPr>
                      <w:b/>
                      <w:color w:val="9F218B"/>
                    </w:rPr>
                    <w:t>Communicating</w:t>
                  </w:r>
                </w:p>
              </w:tc>
            </w:tr>
            <w:tr w:rsidR="00937DF6" w:rsidRPr="003F5AA0"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bottom w:val="nil"/>
                  </w:tcBorders>
                  <w:shd w:val="clear" w:color="auto" w:fill="9F218B"/>
                </w:tcPr>
                <w:p w:rsidR="00937DF6" w:rsidRPr="003F5AA0" w:rsidRDefault="00937DF6" w:rsidP="00937DF6">
                  <w:pPr>
                    <w:pStyle w:val="TableSideHeader"/>
                    <w:framePr w:wrap="around"/>
                    <w:spacing w:after="120"/>
                    <w:rPr>
                      <w:b/>
                    </w:rPr>
                  </w:pPr>
                  <w:r w:rsidRPr="003F5AA0">
                    <w:rPr>
                      <w:b/>
                    </w:rPr>
                    <w:t>Socialising</w:t>
                  </w:r>
                </w:p>
              </w:tc>
              <w:tc>
                <w:tcPr>
                  <w:tcW w:w="2621" w:type="dxa"/>
                  <w:tcBorders>
                    <w:top w:val="single" w:sz="4" w:space="0" w:color="9F218B"/>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Interacts and socialises to exchange information and talk in detail about friends and family members, using simple descriptive or expressive modelled and some extended language.</w:t>
                  </w:r>
                </w:p>
              </w:tc>
              <w:tc>
                <w:tcPr>
                  <w:tcW w:w="2621" w:type="dxa"/>
                  <w:tcBorders>
                    <w:top w:val="single" w:sz="4" w:space="0" w:color="9F218B"/>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Interacts and socialises to exchange information and talk in some detail about friends and family members, using simple descriptive or expressive modelled language.</w:t>
                  </w:r>
                </w:p>
              </w:tc>
              <w:tc>
                <w:tcPr>
                  <w:tcW w:w="2620" w:type="dxa"/>
                  <w:tcBorders>
                    <w:top w:val="single" w:sz="4" w:space="0" w:color="9F218B"/>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Interacts and socialises to exchange information about friends and family members, using simple descriptive or expressive modelled language and gestures.</w:t>
                  </w:r>
                </w:p>
              </w:tc>
              <w:tc>
                <w:tcPr>
                  <w:tcW w:w="2621" w:type="dxa"/>
                  <w:tcBorders>
                    <w:top w:val="single" w:sz="4" w:space="0" w:color="9F218B"/>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Interacts and socialises</w:t>
                  </w:r>
                  <w:r w:rsidR="000B2C32" w:rsidRPr="003F5AA0">
                    <w:rPr>
                      <w:szCs w:val="18"/>
                    </w:rPr>
                    <w:t>,</w:t>
                  </w:r>
                  <w:r w:rsidRPr="003F5AA0">
                    <w:rPr>
                      <w:szCs w:val="18"/>
                    </w:rPr>
                    <w:t xml:space="preserve"> with guidance, to exchange information about friends and family members, using limited, well-rehearsed language or English, silences and gestures.</w:t>
                  </w:r>
                </w:p>
              </w:tc>
              <w:tc>
                <w:tcPr>
                  <w:tcW w:w="2621" w:type="dxa"/>
                  <w:tcBorders>
                    <w:top w:val="single" w:sz="4" w:space="0" w:color="9F218B"/>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Does not meet the requirements of a D grade.</w:t>
                  </w:r>
                </w:p>
              </w:tc>
            </w:tr>
            <w:tr w:rsidR="00937DF6" w:rsidRPr="003F5AA0" w:rsidTr="00937DF6">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937DF6" w:rsidRPr="003F5AA0" w:rsidRDefault="00937DF6" w:rsidP="00937DF6">
                  <w:pPr>
                    <w:pStyle w:val="TableSideHeader"/>
                    <w:framePr w:wrap="around"/>
                    <w:spacing w:after="120"/>
                  </w:pPr>
                </w:p>
              </w:tc>
              <w:tc>
                <w:tcPr>
                  <w:tcW w:w="2621"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Actively participates in routine exchanges, class experiences, activities and everyday transactions.</w:t>
                  </w:r>
                </w:p>
              </w:tc>
              <w:tc>
                <w:tcPr>
                  <w:tcW w:w="2621" w:type="dxa"/>
                  <w:tcBorders>
                    <w:top w:val="nil"/>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 xml:space="preserve">Participates in routine exchanges, class experiences, activities and everyday transactions. </w:t>
                  </w:r>
                </w:p>
              </w:tc>
              <w:tc>
                <w:tcPr>
                  <w:tcW w:w="2620"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Participates in routine exchanges, class experiences and activitie</w:t>
                  </w:r>
                  <w:r w:rsidR="00985E57" w:rsidRPr="003F5AA0">
                    <w:rPr>
                      <w:szCs w:val="18"/>
                    </w:rPr>
                    <w:t>s</w:t>
                  </w:r>
                  <w:r w:rsidRPr="003F5AA0">
                    <w:rPr>
                      <w:szCs w:val="18"/>
                    </w:rPr>
                    <w:t>, and occasionally requires guidance to participate in everyday transactions.</w:t>
                  </w:r>
                </w:p>
              </w:tc>
              <w:tc>
                <w:tcPr>
                  <w:tcW w:w="2621"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Participates occasionally in routine exchanges, class experiences and activities, and requires guidance to participate in everyday transactions.</w:t>
                  </w:r>
                </w:p>
              </w:tc>
              <w:tc>
                <w:tcPr>
                  <w:tcW w:w="2621"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937DF6" w:rsidRPr="003F5AA0"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937DF6" w:rsidRPr="003F5AA0" w:rsidRDefault="00937DF6" w:rsidP="00937DF6">
                  <w:pPr>
                    <w:pStyle w:val="TableSideHeader"/>
                    <w:framePr w:wrap="around"/>
                    <w:spacing w:after="120"/>
                    <w:rPr>
                      <w:b/>
                    </w:rPr>
                  </w:pPr>
                  <w:r w:rsidRPr="003F5AA0">
                    <w:rPr>
                      <w:b/>
                    </w:rPr>
                    <w:t>Informing</w:t>
                  </w:r>
                </w:p>
              </w:tc>
              <w:tc>
                <w:tcPr>
                  <w:tcW w:w="2621" w:type="dxa"/>
                  <w:tcBorders>
                    <w:top w:val="nil"/>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Locates all required information in a range of short texts related to their personal worlds.</w:t>
                  </w:r>
                </w:p>
              </w:tc>
              <w:tc>
                <w:tcPr>
                  <w:tcW w:w="2621" w:type="dxa"/>
                  <w:tcBorders>
                    <w:top w:val="nil"/>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Locates most required information in a range of short texts related to their personal worlds.</w:t>
                  </w:r>
                </w:p>
              </w:tc>
              <w:tc>
                <w:tcPr>
                  <w:tcW w:w="2620" w:type="dxa"/>
                  <w:tcBorders>
                    <w:top w:val="nil"/>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Locates specific points of information in a range of short texts related to their personal worlds.</w:t>
                  </w:r>
                </w:p>
              </w:tc>
              <w:tc>
                <w:tcPr>
                  <w:tcW w:w="2621" w:type="dxa"/>
                  <w:tcBorders>
                    <w:top w:val="nil"/>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Locates few specific points of information in a range of short texts related to their personal worlds.</w:t>
                  </w:r>
                </w:p>
              </w:tc>
              <w:tc>
                <w:tcPr>
                  <w:tcW w:w="2621"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Does not meet the requirements of a D grade.</w:t>
                  </w:r>
                </w:p>
              </w:tc>
            </w:tr>
            <w:tr w:rsidR="00937DF6" w:rsidRPr="003F5AA0" w:rsidTr="00937DF6">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937DF6" w:rsidRPr="003F5AA0" w:rsidRDefault="00937DF6" w:rsidP="00937DF6">
                  <w:pPr>
                    <w:pStyle w:val="TableSideHeader"/>
                    <w:framePr w:wrap="around"/>
                    <w:spacing w:after="120"/>
                    <w:rPr>
                      <w:b/>
                    </w:rPr>
                  </w:pPr>
                </w:p>
              </w:tc>
              <w:tc>
                <w:tcPr>
                  <w:tcW w:w="2621"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Conveys detailed factual information about their personal worlds with simple statements, short descriptions and modelled texts.</w:t>
                  </w:r>
                </w:p>
              </w:tc>
              <w:tc>
                <w:tcPr>
                  <w:tcW w:w="2621"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Conveys</w:t>
                  </w:r>
                  <w:r w:rsidR="00C672D3">
                    <w:rPr>
                      <w:szCs w:val="18"/>
                    </w:rPr>
                    <w:t>,</w:t>
                  </w:r>
                  <w:r w:rsidRPr="003F5AA0">
                    <w:rPr>
                      <w:szCs w:val="18"/>
                    </w:rPr>
                    <w:t xml:space="preserve"> in some detail, factual information about their personal worlds with simple statements, short descriptions and modelled texts.</w:t>
                  </w:r>
                </w:p>
              </w:tc>
              <w:tc>
                <w:tcPr>
                  <w:tcW w:w="2620"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Conveys factual information about their personal worlds with simple statements, short descriptions and modelled texts.</w:t>
                  </w:r>
                </w:p>
              </w:tc>
              <w:tc>
                <w:tcPr>
                  <w:tcW w:w="2621"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Conveys limited information about their personal worlds with simple statements and modelled texts.</w:t>
                  </w:r>
                </w:p>
              </w:tc>
              <w:tc>
                <w:tcPr>
                  <w:tcW w:w="2621"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937DF6" w:rsidRPr="003F5AA0" w:rsidTr="00937DF6">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single" w:sz="4" w:space="0" w:color="9F218B"/>
                  </w:tcBorders>
                  <w:shd w:val="clear" w:color="auto" w:fill="9F218B"/>
                </w:tcPr>
                <w:p w:rsidR="00937DF6" w:rsidRPr="003F5AA0" w:rsidRDefault="00937DF6" w:rsidP="00937DF6">
                  <w:pPr>
                    <w:pStyle w:val="TableSideHeader"/>
                    <w:framePr w:wrap="around"/>
                    <w:spacing w:after="120"/>
                    <w:rPr>
                      <w:b/>
                    </w:rPr>
                  </w:pPr>
                  <w:r w:rsidRPr="003F5AA0">
                    <w:rPr>
                      <w:b/>
                    </w:rPr>
                    <w:t>Creating</w:t>
                  </w:r>
                </w:p>
              </w:tc>
              <w:tc>
                <w:tcPr>
                  <w:tcW w:w="2621" w:type="dxa"/>
                  <w:tcBorders>
                    <w:top w:val="nil"/>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Participates actively in</w:t>
                  </w:r>
                  <w:r w:rsidR="004E6D7B" w:rsidRPr="003F5AA0">
                    <w:rPr>
                      <w:szCs w:val="18"/>
                    </w:rPr>
                    <w:t>,</w:t>
                  </w:r>
                  <w:r w:rsidRPr="003F5AA0">
                    <w:rPr>
                      <w:szCs w:val="18"/>
                    </w:rPr>
                    <w:t xml:space="preserve"> and gives considered response to</w:t>
                  </w:r>
                  <w:r w:rsidR="004E6D7B" w:rsidRPr="003F5AA0">
                    <w:rPr>
                      <w:szCs w:val="18"/>
                    </w:rPr>
                    <w:t>,</w:t>
                  </w:r>
                  <w:r w:rsidRPr="003F5AA0">
                    <w:rPr>
                      <w:szCs w:val="18"/>
                    </w:rPr>
                    <w:t xml:space="preserve"> a range of imaginative texts, acting out events, identifying and comparing favourite elements in detail and making simple</w:t>
                  </w:r>
                  <w:r w:rsidR="004E6D7B" w:rsidRPr="003F5AA0">
                    <w:rPr>
                      <w:szCs w:val="18"/>
                    </w:rPr>
                    <w:t>,</w:t>
                  </w:r>
                  <w:r w:rsidRPr="003F5AA0">
                    <w:rPr>
                      <w:szCs w:val="18"/>
                    </w:rPr>
                    <w:t xml:space="preserve"> and some detailed</w:t>
                  </w:r>
                  <w:r w:rsidR="004E6D7B" w:rsidRPr="003F5AA0">
                    <w:rPr>
                      <w:szCs w:val="18"/>
                    </w:rPr>
                    <w:t>,</w:t>
                  </w:r>
                  <w:r w:rsidRPr="003F5AA0">
                    <w:rPr>
                      <w:szCs w:val="18"/>
                    </w:rPr>
                    <w:t xml:space="preserve"> statements about characters or themes.</w:t>
                  </w:r>
                </w:p>
              </w:tc>
              <w:tc>
                <w:tcPr>
                  <w:tcW w:w="2621" w:type="dxa"/>
                  <w:tcBorders>
                    <w:top w:val="nil"/>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Participates in</w:t>
                  </w:r>
                  <w:r w:rsidR="004E6D7B" w:rsidRPr="003F5AA0">
                    <w:rPr>
                      <w:szCs w:val="18"/>
                    </w:rPr>
                    <w:t>,</w:t>
                  </w:r>
                  <w:r w:rsidRPr="003F5AA0">
                    <w:rPr>
                      <w:szCs w:val="18"/>
                    </w:rPr>
                    <w:t xml:space="preserve"> and gives appropriate response to</w:t>
                  </w:r>
                  <w:r w:rsidR="004E6D7B" w:rsidRPr="003F5AA0">
                    <w:rPr>
                      <w:szCs w:val="18"/>
                    </w:rPr>
                    <w:t>,</w:t>
                  </w:r>
                  <w:r w:rsidRPr="003F5AA0">
                    <w:rPr>
                      <w:szCs w:val="18"/>
                    </w:rPr>
                    <w:t xml:space="preserve"> a range of imaginative texts, acting out events, identifying and comparing favourite elements in some detail and making simple statements about characters or themes.</w:t>
                  </w:r>
                </w:p>
              </w:tc>
              <w:tc>
                <w:tcPr>
                  <w:tcW w:w="2620" w:type="dxa"/>
                  <w:tcBorders>
                    <w:top w:val="nil"/>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Participates in</w:t>
                  </w:r>
                  <w:r w:rsidR="004E6D7B" w:rsidRPr="003F5AA0">
                    <w:rPr>
                      <w:szCs w:val="18"/>
                    </w:rPr>
                    <w:t>,</w:t>
                  </w:r>
                  <w:r w:rsidRPr="003F5AA0">
                    <w:rPr>
                      <w:szCs w:val="18"/>
                    </w:rPr>
                    <w:t xml:space="preserve"> and responds to</w:t>
                  </w:r>
                  <w:r w:rsidR="004E6D7B" w:rsidRPr="003F5AA0">
                    <w:rPr>
                      <w:szCs w:val="18"/>
                    </w:rPr>
                    <w:t>,</w:t>
                  </w:r>
                  <w:r w:rsidRPr="003F5AA0">
                    <w:rPr>
                      <w:szCs w:val="18"/>
                    </w:rPr>
                    <w:t xml:space="preserve"> a range of imaginative texts, acting out events, identifying and comparing favourite elements and making simple statements about characters or themes.</w:t>
                  </w:r>
                </w:p>
              </w:tc>
              <w:tc>
                <w:tcPr>
                  <w:tcW w:w="2621" w:type="dxa"/>
                  <w:tcBorders>
                    <w:top w:val="nil"/>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szCs w:val="18"/>
                    </w:rPr>
                  </w:pPr>
                  <w:r w:rsidRPr="003F5AA0">
                    <w:rPr>
                      <w:szCs w:val="18"/>
                    </w:rPr>
                    <w:t>Participates infrequently in</w:t>
                  </w:r>
                  <w:r w:rsidR="004E6D7B" w:rsidRPr="003F5AA0">
                    <w:rPr>
                      <w:szCs w:val="18"/>
                    </w:rPr>
                    <w:t>,</w:t>
                  </w:r>
                  <w:r w:rsidRPr="003F5AA0">
                    <w:rPr>
                      <w:szCs w:val="18"/>
                    </w:rPr>
                    <w:t xml:space="preserve"> and occasionally responds to</w:t>
                  </w:r>
                  <w:r w:rsidR="004E6D7B" w:rsidRPr="003F5AA0">
                    <w:rPr>
                      <w:szCs w:val="18"/>
                    </w:rPr>
                    <w:t>,</w:t>
                  </w:r>
                  <w:r w:rsidRPr="003F5AA0">
                    <w:rPr>
                      <w:szCs w:val="18"/>
                    </w:rPr>
                    <w:t xml:space="preserve"> imaginative texts, acting out events, identifying few favourite elements and making limited simple statements about characters or themes.</w:t>
                  </w:r>
                </w:p>
              </w:tc>
              <w:tc>
                <w:tcPr>
                  <w:tcW w:w="2621" w:type="dxa"/>
                  <w:tcBorders>
                    <w:top w:val="nil"/>
                    <w:bottom w:val="single" w:sz="4" w:space="0" w:color="9F218B"/>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Does not meet the requirements of a D grade.</w:t>
                  </w:r>
                </w:p>
              </w:tc>
            </w:tr>
          </w:tbl>
          <w:p w:rsidR="005F77EB" w:rsidRPr="003F5AA0" w:rsidRDefault="005F77EB" w:rsidP="0079284F">
            <w:pPr>
              <w:spacing w:before="120" w:after="120"/>
              <w:rPr>
                <w:rFonts w:ascii="Bebas Neue" w:hAnsi="Bebas Neue" w:cs="Arial"/>
                <w:color w:val="3A6DAF"/>
                <w:sz w:val="32"/>
                <w:szCs w:val="32"/>
              </w:rPr>
            </w:pPr>
          </w:p>
        </w:tc>
      </w:tr>
      <w:tr w:rsidR="005F77EB" w:rsidRPr="003F5AA0" w:rsidTr="0079284F">
        <w:trPr>
          <w:trHeight w:val="284"/>
        </w:trPr>
        <w:tc>
          <w:tcPr>
            <w:tcW w:w="16074" w:type="dxa"/>
            <w:shd w:val="clear" w:color="auto" w:fill="auto"/>
          </w:tcPr>
          <w:p w:rsidR="005F77EB" w:rsidRPr="003F5AA0" w:rsidRDefault="005F77EB" w:rsidP="0079284F">
            <w:pPr>
              <w:pStyle w:val="NormalWeb"/>
              <w:spacing w:before="120" w:beforeAutospacing="0" w:after="120" w:afterAutospacing="0"/>
              <w:rPr>
                <w:rFonts w:ascii="Arial" w:hAnsi="Arial" w:cs="Arial"/>
                <w:sz w:val="18"/>
                <w:szCs w:val="18"/>
              </w:rPr>
            </w:pPr>
          </w:p>
        </w:tc>
      </w:tr>
    </w:tbl>
    <w:p w:rsidR="004935F9" w:rsidRPr="003F5AA0" w:rsidRDefault="005F77EB" w:rsidP="00712679">
      <w:pPr>
        <w:rPr>
          <w:rFonts w:ascii="Arial" w:hAnsi="Arial" w:cs="Arial"/>
          <w:sz w:val="4"/>
          <w:szCs w:val="4"/>
        </w:rPr>
      </w:pPr>
      <w:r w:rsidRPr="003F5AA0">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A23A93" w:rsidRPr="003F5AA0" w:rsidTr="00A0222F">
        <w:trPr>
          <w:trHeight w:val="283"/>
        </w:trPr>
        <w:tc>
          <w:tcPr>
            <w:tcW w:w="16074" w:type="dxa"/>
            <w:shd w:val="clear" w:color="auto" w:fill="auto"/>
          </w:tcPr>
          <w:p w:rsidR="00A23A93" w:rsidRPr="003F5AA0" w:rsidRDefault="00A23A93" w:rsidP="00A23A93">
            <w:pPr>
              <w:rPr>
                <w:rFonts w:ascii="Arial" w:hAnsi="Arial" w:cs="Arial"/>
                <w:b/>
                <w:color w:val="FFFFFF" w:themeColor="background1"/>
                <w:sz w:val="16"/>
                <w:szCs w:val="16"/>
              </w:rPr>
            </w:pPr>
          </w:p>
          <w:p w:rsidR="00A23A93" w:rsidRPr="003F5AA0" w:rsidRDefault="00A23A93" w:rsidP="00A23A93">
            <w:pPr>
              <w:pStyle w:val="NormalWeb"/>
              <w:spacing w:before="0" w:beforeAutospacing="0" w:after="0" w:afterAutospacing="0"/>
              <w:rPr>
                <w:rFonts w:ascii="Arial" w:hAnsi="Arial" w:cs="Arial"/>
                <w:sz w:val="16"/>
                <w:szCs w:val="16"/>
              </w:rPr>
            </w:pPr>
          </w:p>
        </w:tc>
      </w:tr>
      <w:tr w:rsidR="00A23A93" w:rsidRPr="003F5AA0" w:rsidTr="00A23A93">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77567F" w:rsidRPr="003F5AA0" w:rsidTr="00F760E5">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77567F" w:rsidRPr="003F5AA0" w:rsidRDefault="0077567F" w:rsidP="0077567F">
                  <w:pPr>
                    <w:framePr w:hSpace="180" w:wrap="around" w:vAnchor="text" w:hAnchor="margin" w:y="-314"/>
                    <w:spacing w:before="60" w:after="60"/>
                    <w:rPr>
                      <w:rFonts w:cs="Arial"/>
                      <w:b w:val="0"/>
                      <w:sz w:val="24"/>
                      <w:szCs w:val="24"/>
                    </w:rPr>
                  </w:pPr>
                </w:p>
              </w:tc>
              <w:tc>
                <w:tcPr>
                  <w:tcW w:w="2621" w:type="dxa"/>
                  <w:shd w:val="clear" w:color="auto" w:fill="9F218B"/>
                  <w:vAlign w:val="center"/>
                </w:tcPr>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A</w:t>
                  </w:r>
                </w:p>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3F5AA0">
                    <w:rPr>
                      <w:rFonts w:cs="Arial"/>
                    </w:rPr>
                    <w:t>Excellent achievement</w:t>
                  </w:r>
                </w:p>
              </w:tc>
              <w:tc>
                <w:tcPr>
                  <w:tcW w:w="2621" w:type="dxa"/>
                  <w:shd w:val="clear" w:color="auto" w:fill="9F218B"/>
                  <w:vAlign w:val="center"/>
                </w:tcPr>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B</w:t>
                  </w:r>
                </w:p>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rPr>
                    <w:t>High achievement</w:t>
                  </w:r>
                </w:p>
              </w:tc>
              <w:tc>
                <w:tcPr>
                  <w:tcW w:w="2620" w:type="dxa"/>
                  <w:shd w:val="clear" w:color="auto" w:fill="9F218B"/>
                  <w:vAlign w:val="center"/>
                </w:tcPr>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C</w:t>
                  </w:r>
                </w:p>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3F5AA0">
                    <w:rPr>
                      <w:rFonts w:cs="Arial"/>
                    </w:rPr>
                    <w:t>Satisfactory achievement</w:t>
                  </w:r>
                </w:p>
              </w:tc>
              <w:tc>
                <w:tcPr>
                  <w:tcW w:w="2621" w:type="dxa"/>
                  <w:shd w:val="clear" w:color="auto" w:fill="9F218B"/>
                  <w:vAlign w:val="center"/>
                </w:tcPr>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D</w:t>
                  </w:r>
                </w:p>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rPr>
                    <w:t>Limited achievement</w:t>
                  </w:r>
                </w:p>
              </w:tc>
              <w:tc>
                <w:tcPr>
                  <w:tcW w:w="2621" w:type="dxa"/>
                  <w:shd w:val="clear" w:color="auto" w:fill="9F218B"/>
                  <w:vAlign w:val="center"/>
                </w:tcPr>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E</w:t>
                  </w:r>
                </w:p>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rPr>
                    <w:t>Very low achievement</w:t>
                  </w:r>
                </w:p>
              </w:tc>
            </w:tr>
            <w:tr w:rsidR="00937DF6" w:rsidRPr="003F5AA0" w:rsidTr="00A23A93">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937DF6" w:rsidRPr="003F5AA0" w:rsidRDefault="00937DF6" w:rsidP="00937DF6">
                  <w:pPr>
                    <w:pStyle w:val="TableSideHeader"/>
                    <w:framePr w:wrap="around"/>
                    <w:spacing w:after="120"/>
                    <w:rPr>
                      <w:b/>
                    </w:rPr>
                  </w:pPr>
                  <w:r w:rsidRPr="003F5AA0">
                    <w:rPr>
                      <w:b/>
                    </w:rPr>
                    <w:t>Creating</w:t>
                  </w:r>
                </w:p>
              </w:tc>
              <w:tc>
                <w:tcPr>
                  <w:tcW w:w="2621" w:type="dxa"/>
                </w:tcPr>
                <w:p w:rsidR="00937DF6" w:rsidRPr="003F5AA0" w:rsidRDefault="004E6D7B"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rFonts w:cstheme="minorHAnsi"/>
                    </w:rPr>
                    <w:t>Creates and confidently performs short imaginative texts that use effective familiar and less-familiar expressions, modelled language and visual supports.</w:t>
                  </w:r>
                </w:p>
              </w:tc>
              <w:tc>
                <w:tcPr>
                  <w:tcW w:w="2621" w:type="dxa"/>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Creates and performs short imaginative texts that use appropriate familiar and some less-familiar expressions, modelled language and simple visual supports.</w:t>
                  </w:r>
                </w:p>
              </w:tc>
              <w:tc>
                <w:tcPr>
                  <w:tcW w:w="2620" w:type="dxa"/>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Creates and performs short imaginative texts that use familiar expressions and modelled language as well as simple visual supports.</w:t>
                  </w:r>
                </w:p>
              </w:tc>
              <w:tc>
                <w:tcPr>
                  <w:tcW w:w="2621" w:type="dxa"/>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Creates and performs</w:t>
                  </w:r>
                  <w:r w:rsidR="004E6D7B" w:rsidRPr="003F5AA0">
                    <w:rPr>
                      <w:szCs w:val="18"/>
                    </w:rPr>
                    <w:t>,</w:t>
                  </w:r>
                  <w:r w:rsidRPr="003F5AA0">
                    <w:rPr>
                      <w:szCs w:val="18"/>
                    </w:rPr>
                    <w:t xml:space="preserve"> with guidance, short imaginative texts that use familiar words and expressions, or English.</w:t>
                  </w:r>
                </w:p>
              </w:tc>
              <w:tc>
                <w:tcPr>
                  <w:tcW w:w="2621" w:type="dxa"/>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3F5AA0">
                    <w:rPr>
                      <w:szCs w:val="18"/>
                    </w:rPr>
                    <w:t>Does not meet the requirements of a D grade.</w:t>
                  </w:r>
                </w:p>
              </w:tc>
            </w:tr>
            <w:tr w:rsidR="00937DF6" w:rsidRPr="003F5AA0" w:rsidTr="00A23A93">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937DF6" w:rsidRPr="003F5AA0" w:rsidRDefault="00937DF6" w:rsidP="00937DF6">
                  <w:pPr>
                    <w:framePr w:hSpace="180" w:wrap="around" w:vAnchor="text" w:hAnchor="margin" w:y="-314"/>
                  </w:pPr>
                  <w:r w:rsidRPr="003F5AA0">
                    <w:t>Translating</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rPr>
                      <w:rFonts w:ascii="Calibri" w:hAnsi="Calibri" w:cs="Calibri"/>
                    </w:rPr>
                    <w:t>Uses a range of modelled strategies to translate familiar words and expressions in simple texts.</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rPr>
                      <w:rFonts w:ascii="Calibri" w:hAnsi="Calibri" w:cs="Calibri"/>
                    </w:rPr>
                    <w:t xml:space="preserve">Uses appropriate modelled strategies to translate familiar words and expressions in simple texts. </w:t>
                  </w:r>
                </w:p>
              </w:tc>
              <w:tc>
                <w:tcPr>
                  <w:tcW w:w="2620"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rPr>
                      <w:rFonts w:ascii="Calibri" w:hAnsi="Calibri" w:cs="Calibri"/>
                    </w:rPr>
                    <w:t>Uses some modelled strategies to translate familiar words and most expressions in simple texts.</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rPr>
                      <w:rFonts w:ascii="Calibri" w:hAnsi="Calibri" w:cs="Calibri"/>
                    </w:rPr>
                    <w:t>Relies on guidance to translate familiar words and expressions in simple texts.</w:t>
                  </w:r>
                </w:p>
              </w:tc>
              <w:tc>
                <w:tcPr>
                  <w:tcW w:w="2621" w:type="dxa"/>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3F5AA0">
                    <w:rPr>
                      <w:szCs w:val="18"/>
                    </w:rPr>
                    <w:t>Does not meet the requirements of a D grade.</w:t>
                  </w:r>
                </w:p>
              </w:tc>
            </w:tr>
            <w:tr w:rsidR="00937DF6" w:rsidRPr="003F5AA0" w:rsidTr="00886B74">
              <w:trPr>
                <w:trHeight w:val="282"/>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937DF6" w:rsidRPr="003F5AA0" w:rsidRDefault="00937DF6" w:rsidP="00937DF6">
                  <w:pPr>
                    <w:framePr w:hSpace="180" w:wrap="around" w:vAnchor="text" w:hAnchor="margin" w:y="-314"/>
                  </w:pPr>
                  <w:r w:rsidRPr="003F5AA0">
                    <w:t>Reflecting</w:t>
                  </w:r>
                </w:p>
              </w:tc>
              <w:tc>
                <w:tcPr>
                  <w:tcW w:w="2621" w:type="dxa"/>
                  <w:tcBorders>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color w:val="000000" w:themeColor="text1"/>
                    </w:rPr>
                  </w:pPr>
                  <w:r w:rsidRPr="003F5AA0">
                    <w:rPr>
                      <w:rFonts w:ascii="Calibri" w:hAnsi="Calibri" w:cs="Calibri"/>
                      <w:color w:val="000000" w:themeColor="text1"/>
                    </w:rPr>
                    <w:t>Describes similarities or differences to their own language and culture when interacting in Indonesian.</w:t>
                  </w:r>
                </w:p>
              </w:tc>
              <w:tc>
                <w:tcPr>
                  <w:tcW w:w="2621" w:type="dxa"/>
                  <w:tcBorders>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rPr>
                      <w:color w:val="000000" w:themeColor="text1"/>
                    </w:rPr>
                  </w:pPr>
                  <w:r w:rsidRPr="003F5AA0">
                    <w:rPr>
                      <w:rFonts w:ascii="Calibri" w:hAnsi="Calibri" w:cs="Calibri"/>
                      <w:color w:val="000000" w:themeColor="text1"/>
                    </w:rPr>
                    <w:t>Describes similarities or differences to their own language and culture when interacting in Indonesian.</w:t>
                  </w:r>
                </w:p>
              </w:tc>
              <w:tc>
                <w:tcPr>
                  <w:tcW w:w="2620" w:type="dxa"/>
                  <w:tcBorders>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Identifies similarities or differences to their own language and culture when interacting in Indonesian.</w:t>
                  </w:r>
                </w:p>
              </w:tc>
              <w:tc>
                <w:tcPr>
                  <w:tcW w:w="2621" w:type="dxa"/>
                  <w:tcBorders>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States occasionally similarities or differences to their own language and culture when interacting in Indonesian.</w:t>
                  </w:r>
                </w:p>
              </w:tc>
              <w:tc>
                <w:tcPr>
                  <w:tcW w:w="2621" w:type="dxa"/>
                  <w:tcBorders>
                    <w:bottom w:val="single" w:sz="4" w:space="0" w:color="9F218B"/>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3F5AA0">
                    <w:rPr>
                      <w:szCs w:val="18"/>
                    </w:rPr>
                    <w:t>Does not meet the requirements of a D grade.</w:t>
                  </w:r>
                </w:p>
              </w:tc>
            </w:tr>
            <w:tr w:rsidR="00937DF6" w:rsidRPr="003F5AA0" w:rsidTr="00937DF6">
              <w:trPr>
                <w:trHeight w:val="282"/>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937DF6" w:rsidRPr="003F5AA0" w:rsidRDefault="00937DF6" w:rsidP="00937DF6">
                  <w:pPr>
                    <w:pStyle w:val="TableSideHeader"/>
                    <w:framePr w:wrap="around"/>
                    <w:rPr>
                      <w:sz w:val="18"/>
                      <w:szCs w:val="18"/>
                    </w:rPr>
                  </w:pPr>
                  <w:r w:rsidRPr="003F5AA0">
                    <w:rPr>
                      <w:b/>
                      <w:color w:val="9F218B"/>
                    </w:rPr>
                    <w:t>Understanding</w:t>
                  </w:r>
                </w:p>
              </w:tc>
            </w:tr>
            <w:tr w:rsidR="00937DF6" w:rsidRPr="003F5AA0" w:rsidTr="00937DF6">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bottom w:val="nil"/>
                  </w:tcBorders>
                  <w:shd w:val="clear" w:color="auto" w:fill="9F218B"/>
                </w:tcPr>
                <w:p w:rsidR="00937DF6" w:rsidRPr="003F5AA0" w:rsidRDefault="00937DF6" w:rsidP="00937DF6">
                  <w:pPr>
                    <w:framePr w:hSpace="180" w:wrap="around" w:vAnchor="text" w:hAnchor="margin" w:y="-314"/>
                  </w:pPr>
                  <w:r w:rsidRPr="003F5AA0">
                    <w:t>Systems of language</w:t>
                  </w:r>
                </w:p>
              </w:tc>
              <w:tc>
                <w:tcPr>
                  <w:tcW w:w="2621" w:type="dxa"/>
                  <w:tcBorders>
                    <w:top w:val="single" w:sz="4" w:space="0" w:color="9F218B"/>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Reproduces pronunciation conventions with a very high level of accuracy, making connections between Indonesian and English sounds</w:t>
                  </w:r>
                  <w:r w:rsidRPr="003F5AA0">
                    <w:rPr>
                      <w:i/>
                    </w:rPr>
                    <w:t>.</w:t>
                  </w:r>
                </w:p>
              </w:tc>
              <w:tc>
                <w:tcPr>
                  <w:tcW w:w="2621" w:type="dxa"/>
                  <w:tcBorders>
                    <w:top w:val="single" w:sz="4" w:space="0" w:color="9F218B"/>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Reproduces pronunciation conventions with a high level of accuracy, making connections between Indonesian and English sounds</w:t>
                  </w:r>
                  <w:r w:rsidRPr="003F5AA0">
                    <w:rPr>
                      <w:i/>
                    </w:rPr>
                    <w:t>.</w:t>
                  </w:r>
                </w:p>
              </w:tc>
              <w:tc>
                <w:tcPr>
                  <w:tcW w:w="2620" w:type="dxa"/>
                  <w:tcBorders>
                    <w:top w:val="single" w:sz="4" w:space="0" w:color="9F218B"/>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Reproduces pronunciation conventions with a satisfactory level of accuracy, making connections between Indonesian and English sounds</w:t>
                  </w:r>
                  <w:r w:rsidRPr="003F5AA0">
                    <w:rPr>
                      <w:i/>
                    </w:rPr>
                    <w:t>.</w:t>
                  </w:r>
                </w:p>
              </w:tc>
              <w:tc>
                <w:tcPr>
                  <w:tcW w:w="2621" w:type="dxa"/>
                  <w:tcBorders>
                    <w:top w:val="single" w:sz="4" w:space="0" w:color="9F218B"/>
                    <w:bottom w:val="nil"/>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Reproduces pronunciation conventions with</w:t>
                  </w:r>
                  <w:r w:rsidR="004E6D7B" w:rsidRPr="003F5AA0">
                    <w:t xml:space="preserve"> a</w:t>
                  </w:r>
                  <w:r w:rsidRPr="003F5AA0">
                    <w:t xml:space="preserve"> limited </w:t>
                  </w:r>
                  <w:r w:rsidR="004E6D7B" w:rsidRPr="003F5AA0">
                    <w:t xml:space="preserve">level of </w:t>
                  </w:r>
                  <w:r w:rsidRPr="003F5AA0">
                    <w:t>accuracy, making connections between Indonesian and English sounds</w:t>
                  </w:r>
                  <w:r w:rsidRPr="003F5AA0">
                    <w:rPr>
                      <w:i/>
                    </w:rPr>
                    <w:t>.</w:t>
                  </w:r>
                </w:p>
              </w:tc>
              <w:tc>
                <w:tcPr>
                  <w:tcW w:w="2621" w:type="dxa"/>
                  <w:tcBorders>
                    <w:top w:val="single" w:sz="4" w:space="0" w:color="9F218B"/>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3F5AA0">
                    <w:rPr>
                      <w:szCs w:val="18"/>
                    </w:rPr>
                    <w:t>Does not meet the requirements of a D grade.</w:t>
                  </w:r>
                </w:p>
              </w:tc>
            </w:tr>
            <w:tr w:rsidR="00937DF6" w:rsidRPr="003F5AA0" w:rsidTr="00937DF6">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937DF6" w:rsidRPr="003F5AA0" w:rsidRDefault="00937DF6" w:rsidP="00937DF6">
                  <w:pPr>
                    <w:framePr w:hSpace="180" w:wrap="around" w:vAnchor="text" w:hAnchor="margin" w:y="-314"/>
                  </w:pPr>
                </w:p>
              </w:tc>
              <w:tc>
                <w:tcPr>
                  <w:tcW w:w="2621" w:type="dxa"/>
                  <w:tcBorders>
                    <w:top w:val="nil"/>
                    <w:bottom w:val="nil"/>
                  </w:tcBorders>
                </w:tcPr>
                <w:p w:rsidR="00937DF6" w:rsidRPr="003F5AA0" w:rsidRDefault="004E6D7B" w:rsidP="00937DF6">
                  <w:pPr>
                    <w:cnfStyle w:val="000000000000" w:firstRow="0" w:lastRow="0" w:firstColumn="0" w:lastColumn="0" w:oddVBand="0" w:evenVBand="0" w:oddHBand="0" w:evenHBand="0" w:firstRowFirstColumn="0" w:firstRowLastColumn="0" w:lastRowFirstColumn="0" w:lastRowLastColumn="0"/>
                  </w:pPr>
                  <w:r w:rsidRPr="003F5AA0">
                    <w:t xml:space="preserve">Uses vocabulary and expressions </w:t>
                  </w:r>
                  <w:r w:rsidRPr="003F5AA0">
                    <w:rPr>
                      <w:rFonts w:ascii="Calibri" w:hAnsi="Calibri" w:cs="Calibri"/>
                    </w:rPr>
                    <w:t>related to exchanging information about friends and family members,</w:t>
                  </w:r>
                  <w:r w:rsidRPr="003F5AA0">
                    <w:t xml:space="preserve"> with a very high level of accuracy</w:t>
                  </w:r>
                  <w:r w:rsidRPr="003F5AA0">
                    <w:rPr>
                      <w:rFonts w:ascii="Calibri" w:hAnsi="Calibri" w:cs="Calibri"/>
                    </w:rPr>
                    <w:t>.</w:t>
                  </w:r>
                </w:p>
              </w:tc>
              <w:tc>
                <w:tcPr>
                  <w:tcW w:w="2621" w:type="dxa"/>
                  <w:tcBorders>
                    <w:top w:val="nil"/>
                    <w:bottom w:val="nil"/>
                  </w:tcBorders>
                </w:tcPr>
                <w:p w:rsidR="00937DF6" w:rsidRPr="003F5AA0" w:rsidRDefault="004E6D7B" w:rsidP="00937DF6">
                  <w:pPr>
                    <w:cnfStyle w:val="000000000000" w:firstRow="0" w:lastRow="0" w:firstColumn="0" w:lastColumn="0" w:oddVBand="0" w:evenVBand="0" w:oddHBand="0" w:evenHBand="0" w:firstRowFirstColumn="0" w:firstRowLastColumn="0" w:lastRowFirstColumn="0" w:lastRowLastColumn="0"/>
                  </w:pPr>
                  <w:r w:rsidRPr="003F5AA0">
                    <w:t xml:space="preserve">Uses vocabulary and expressions </w:t>
                  </w:r>
                  <w:r w:rsidRPr="003F5AA0">
                    <w:rPr>
                      <w:rFonts w:ascii="Calibri" w:hAnsi="Calibri" w:cs="Calibri"/>
                    </w:rPr>
                    <w:t xml:space="preserve">related to exchanging information about friends and family members, </w:t>
                  </w:r>
                  <w:r w:rsidRPr="003F5AA0">
                    <w:t>with a high level of accuracy.</w:t>
                  </w:r>
                </w:p>
              </w:tc>
              <w:tc>
                <w:tcPr>
                  <w:tcW w:w="2620" w:type="dxa"/>
                  <w:tcBorders>
                    <w:top w:val="nil"/>
                    <w:bottom w:val="nil"/>
                  </w:tcBorders>
                </w:tcPr>
                <w:p w:rsidR="00937DF6" w:rsidRPr="003F5AA0" w:rsidRDefault="004E6D7B" w:rsidP="00937DF6">
                  <w:pPr>
                    <w:cnfStyle w:val="000000000000" w:firstRow="0" w:lastRow="0" w:firstColumn="0" w:lastColumn="0" w:oddVBand="0" w:evenVBand="0" w:oddHBand="0" w:evenHBand="0" w:firstRowFirstColumn="0" w:firstRowLastColumn="0" w:lastRowFirstColumn="0" w:lastRowLastColumn="0"/>
                  </w:pPr>
                  <w:r w:rsidRPr="003F5AA0">
                    <w:t xml:space="preserve">Uses vocabulary and expressions, </w:t>
                  </w:r>
                  <w:r w:rsidRPr="003F5AA0">
                    <w:rPr>
                      <w:rFonts w:ascii="Calibri" w:hAnsi="Calibri" w:cs="Calibri"/>
                    </w:rPr>
                    <w:t>related to exchanging information about friends and family members,</w:t>
                  </w:r>
                  <w:r w:rsidRPr="003F5AA0">
                    <w:t xml:space="preserve"> with a satisfactory level of accuracy.</w:t>
                  </w:r>
                </w:p>
              </w:tc>
              <w:tc>
                <w:tcPr>
                  <w:tcW w:w="2621" w:type="dxa"/>
                  <w:tcBorders>
                    <w:top w:val="nil"/>
                    <w:bottom w:val="nil"/>
                  </w:tcBorders>
                </w:tcPr>
                <w:p w:rsidR="00937DF6" w:rsidRPr="003F5AA0" w:rsidRDefault="004E6D7B" w:rsidP="00937DF6">
                  <w:pPr>
                    <w:cnfStyle w:val="000000000000" w:firstRow="0" w:lastRow="0" w:firstColumn="0" w:lastColumn="0" w:oddVBand="0" w:evenVBand="0" w:oddHBand="0" w:evenHBand="0" w:firstRowFirstColumn="0" w:firstRowLastColumn="0" w:lastRowFirstColumn="0" w:lastRowLastColumn="0"/>
                  </w:pPr>
                  <w:r w:rsidRPr="003F5AA0">
                    <w:t xml:space="preserve">Uses vocabulary and expressions </w:t>
                  </w:r>
                  <w:r w:rsidRPr="003F5AA0">
                    <w:rPr>
                      <w:rFonts w:ascii="Calibri" w:hAnsi="Calibri" w:cs="Calibri"/>
                    </w:rPr>
                    <w:t>related to exchanging information about friends and family members,</w:t>
                  </w:r>
                  <w:r w:rsidRPr="003F5AA0">
                    <w:t xml:space="preserve"> with a limited level of accuracy.</w:t>
                  </w:r>
                </w:p>
              </w:tc>
              <w:tc>
                <w:tcPr>
                  <w:tcW w:w="2621"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937DF6" w:rsidRPr="003F5AA0" w:rsidTr="00937DF6">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937DF6" w:rsidRPr="003F5AA0" w:rsidRDefault="00937DF6" w:rsidP="00937DF6">
                  <w:pPr>
                    <w:framePr w:hSpace="180" w:wrap="around" w:vAnchor="text" w:hAnchor="margin" w:y="-314"/>
                  </w:pPr>
                </w:p>
              </w:tc>
              <w:tc>
                <w:tcPr>
                  <w:tcW w:w="2621" w:type="dxa"/>
                  <w:tcBorders>
                    <w:top w:val="nil"/>
                    <w:bottom w:val="nil"/>
                  </w:tcBorders>
                </w:tcPr>
                <w:p w:rsidR="00937DF6" w:rsidRPr="003F5AA0" w:rsidRDefault="000B2C32" w:rsidP="00937DF6">
                  <w:pPr>
                    <w:cnfStyle w:val="000000000000" w:firstRow="0" w:lastRow="0" w:firstColumn="0" w:lastColumn="0" w:oddVBand="0" w:evenVBand="0" w:oddHBand="0" w:evenHBand="0" w:firstRowFirstColumn="0" w:firstRowLastColumn="0" w:lastRowFirstColumn="0" w:lastRowLastColumn="0"/>
                  </w:pPr>
                  <w:r w:rsidRPr="003F5AA0">
                    <w:t xml:space="preserve">Applies elements of grammar in simple spoken and written texts, with a very high level of accuracy. </w:t>
                  </w:r>
                </w:p>
              </w:tc>
              <w:tc>
                <w:tcPr>
                  <w:tcW w:w="2621" w:type="dxa"/>
                  <w:tcBorders>
                    <w:top w:val="nil"/>
                    <w:bottom w:val="nil"/>
                  </w:tcBorders>
                </w:tcPr>
                <w:p w:rsidR="00937DF6" w:rsidRPr="003F5AA0" w:rsidRDefault="000B2C32" w:rsidP="00937DF6">
                  <w:pPr>
                    <w:cnfStyle w:val="000000000000" w:firstRow="0" w:lastRow="0" w:firstColumn="0" w:lastColumn="0" w:oddVBand="0" w:evenVBand="0" w:oddHBand="0" w:evenHBand="0" w:firstRowFirstColumn="0" w:firstRowLastColumn="0" w:lastRowFirstColumn="0" w:lastRowLastColumn="0"/>
                  </w:pPr>
                  <w:r w:rsidRPr="003F5AA0">
                    <w:t xml:space="preserve">Applies elements of grammar in simple spoken and written texts, with a high level of accuracy. </w:t>
                  </w:r>
                </w:p>
              </w:tc>
              <w:tc>
                <w:tcPr>
                  <w:tcW w:w="2620" w:type="dxa"/>
                  <w:tcBorders>
                    <w:top w:val="nil"/>
                    <w:bottom w:val="nil"/>
                  </w:tcBorders>
                </w:tcPr>
                <w:p w:rsidR="00937DF6" w:rsidRPr="003F5AA0" w:rsidRDefault="000B2C32" w:rsidP="00937DF6">
                  <w:pPr>
                    <w:cnfStyle w:val="000000000000" w:firstRow="0" w:lastRow="0" w:firstColumn="0" w:lastColumn="0" w:oddVBand="0" w:evenVBand="0" w:oddHBand="0" w:evenHBand="0" w:firstRowFirstColumn="0" w:firstRowLastColumn="0" w:lastRowFirstColumn="0" w:lastRowLastColumn="0"/>
                  </w:pPr>
                  <w:r w:rsidRPr="003F5AA0">
                    <w:t>Applies elements of grammar in simple spoken and written texts, with a satisfactory level of accuracy.</w:t>
                  </w:r>
                </w:p>
              </w:tc>
              <w:tc>
                <w:tcPr>
                  <w:tcW w:w="2621" w:type="dxa"/>
                  <w:tcBorders>
                    <w:top w:val="nil"/>
                    <w:bottom w:val="nil"/>
                  </w:tcBorders>
                </w:tcPr>
                <w:p w:rsidR="00937DF6" w:rsidRPr="003F5AA0" w:rsidRDefault="000B2C32" w:rsidP="00937DF6">
                  <w:pPr>
                    <w:cnfStyle w:val="000000000000" w:firstRow="0" w:lastRow="0" w:firstColumn="0" w:lastColumn="0" w:oddVBand="0" w:evenVBand="0" w:oddHBand="0" w:evenHBand="0" w:firstRowFirstColumn="0" w:firstRowLastColumn="0" w:lastRowFirstColumn="0" w:lastRowLastColumn="0"/>
                  </w:pPr>
                  <w:r w:rsidRPr="003F5AA0">
                    <w:t>Applies elements of grammar in simple spoken and written texts with a limited level of accuracy.</w:t>
                  </w:r>
                </w:p>
              </w:tc>
              <w:tc>
                <w:tcPr>
                  <w:tcW w:w="2621" w:type="dxa"/>
                  <w:tcBorders>
                    <w:top w:val="nil"/>
                    <w:bottom w:val="nil"/>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937DF6" w:rsidRPr="003F5AA0" w:rsidTr="00937DF6">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nil"/>
                    <w:bottom w:val="single" w:sz="4" w:space="0" w:color="9F218B"/>
                  </w:tcBorders>
                  <w:shd w:val="clear" w:color="auto" w:fill="9F218B"/>
                </w:tcPr>
                <w:p w:rsidR="00937DF6" w:rsidRPr="003F5AA0" w:rsidRDefault="00937DF6" w:rsidP="00937DF6">
                  <w:pPr>
                    <w:framePr w:hSpace="180" w:wrap="around" w:vAnchor="text" w:hAnchor="margin" w:y="-314"/>
                  </w:pPr>
                </w:p>
              </w:tc>
              <w:tc>
                <w:tcPr>
                  <w:tcW w:w="2621" w:type="dxa"/>
                  <w:tcBorders>
                    <w:top w:val="nil"/>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 xml:space="preserve">Applies the same rules of punctuation as in English. </w:t>
                  </w:r>
                </w:p>
              </w:tc>
              <w:tc>
                <w:tcPr>
                  <w:tcW w:w="2621" w:type="dxa"/>
                  <w:tcBorders>
                    <w:top w:val="nil"/>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 xml:space="preserve">Applies most of the same rules of punctuation as in English. </w:t>
                  </w:r>
                </w:p>
              </w:tc>
              <w:tc>
                <w:tcPr>
                  <w:tcW w:w="2620" w:type="dxa"/>
                  <w:tcBorders>
                    <w:top w:val="nil"/>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 xml:space="preserve">Applies some of the same rules of punctuation as in English. </w:t>
                  </w:r>
                </w:p>
              </w:tc>
              <w:tc>
                <w:tcPr>
                  <w:tcW w:w="2621" w:type="dxa"/>
                  <w:tcBorders>
                    <w:top w:val="nil"/>
                    <w:bottom w:val="single" w:sz="4" w:space="0" w:color="9F218B"/>
                  </w:tcBorders>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 xml:space="preserve">Applies few of the same rules of punctuation as in English. </w:t>
                  </w:r>
                </w:p>
              </w:tc>
              <w:tc>
                <w:tcPr>
                  <w:tcW w:w="2621" w:type="dxa"/>
                  <w:tcBorders>
                    <w:top w:val="nil"/>
                    <w:bottom w:val="single" w:sz="4" w:space="0" w:color="9F218B"/>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bl>
          <w:p w:rsidR="00A23A93" w:rsidRPr="003F5AA0" w:rsidRDefault="00A23A93" w:rsidP="00A23A93">
            <w:pPr>
              <w:spacing w:before="120" w:after="120"/>
              <w:rPr>
                <w:rFonts w:ascii="Bebas Neue" w:hAnsi="Bebas Neue" w:cs="Arial"/>
                <w:color w:val="3A6DAF"/>
                <w:sz w:val="32"/>
                <w:szCs w:val="32"/>
              </w:rPr>
            </w:pPr>
          </w:p>
        </w:tc>
      </w:tr>
      <w:tr w:rsidR="00A23A93" w:rsidRPr="003F5AA0" w:rsidTr="00A23A93">
        <w:trPr>
          <w:trHeight w:val="284"/>
        </w:trPr>
        <w:tc>
          <w:tcPr>
            <w:tcW w:w="16074" w:type="dxa"/>
            <w:shd w:val="clear" w:color="auto" w:fill="auto"/>
          </w:tcPr>
          <w:p w:rsidR="00A23A93" w:rsidRPr="003F5AA0" w:rsidRDefault="00A23A93" w:rsidP="00A23A93">
            <w:pPr>
              <w:pStyle w:val="NormalWeb"/>
              <w:spacing w:before="120" w:beforeAutospacing="0" w:after="120" w:afterAutospacing="0"/>
              <w:rPr>
                <w:rFonts w:ascii="Arial" w:hAnsi="Arial" w:cs="Arial"/>
                <w:sz w:val="18"/>
                <w:szCs w:val="18"/>
              </w:rPr>
            </w:pPr>
          </w:p>
        </w:tc>
      </w:tr>
    </w:tbl>
    <w:p w:rsidR="00886B74" w:rsidRPr="003F5AA0" w:rsidRDefault="00886B74">
      <w:pPr>
        <w:rPr>
          <w:rFonts w:ascii="Arial" w:hAnsi="Arial" w:cs="Arial"/>
          <w:sz w:val="4"/>
          <w:szCs w:val="4"/>
        </w:rPr>
      </w:pPr>
      <w:r w:rsidRPr="003F5AA0">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886B74" w:rsidRPr="003F5AA0" w:rsidTr="00333E07">
        <w:trPr>
          <w:trHeight w:val="283"/>
        </w:trPr>
        <w:tc>
          <w:tcPr>
            <w:tcW w:w="16074" w:type="dxa"/>
            <w:shd w:val="clear" w:color="auto" w:fill="auto"/>
          </w:tcPr>
          <w:p w:rsidR="00886B74" w:rsidRPr="003F5AA0" w:rsidRDefault="00886B74" w:rsidP="00333E07">
            <w:pPr>
              <w:rPr>
                <w:rFonts w:ascii="Arial" w:hAnsi="Arial" w:cs="Arial"/>
                <w:b/>
                <w:color w:val="FFFFFF" w:themeColor="background1"/>
                <w:sz w:val="16"/>
                <w:szCs w:val="16"/>
              </w:rPr>
            </w:pPr>
          </w:p>
          <w:p w:rsidR="00886B74" w:rsidRPr="003F5AA0" w:rsidRDefault="00886B74" w:rsidP="00333E07">
            <w:pPr>
              <w:pStyle w:val="NormalWeb"/>
              <w:spacing w:before="0" w:beforeAutospacing="0" w:after="0" w:afterAutospacing="0"/>
              <w:rPr>
                <w:rFonts w:ascii="Arial" w:hAnsi="Arial" w:cs="Arial"/>
                <w:sz w:val="16"/>
                <w:szCs w:val="16"/>
              </w:rPr>
            </w:pPr>
          </w:p>
        </w:tc>
      </w:tr>
      <w:tr w:rsidR="00886B74" w:rsidRPr="003F5AA0" w:rsidTr="00333E07">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77567F" w:rsidRPr="003F5AA0" w:rsidTr="00BF1630">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77567F" w:rsidRPr="003F5AA0" w:rsidRDefault="0077567F" w:rsidP="0077567F">
                  <w:pPr>
                    <w:framePr w:hSpace="180" w:wrap="around" w:vAnchor="text" w:hAnchor="margin" w:y="-314"/>
                    <w:spacing w:before="60" w:after="60"/>
                    <w:rPr>
                      <w:rFonts w:cs="Arial"/>
                      <w:b w:val="0"/>
                      <w:sz w:val="24"/>
                      <w:szCs w:val="24"/>
                    </w:rPr>
                  </w:pPr>
                </w:p>
              </w:tc>
              <w:tc>
                <w:tcPr>
                  <w:tcW w:w="2621" w:type="dxa"/>
                  <w:shd w:val="clear" w:color="auto" w:fill="9F218B"/>
                  <w:vAlign w:val="center"/>
                </w:tcPr>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A</w:t>
                  </w:r>
                </w:p>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3F5AA0">
                    <w:rPr>
                      <w:rFonts w:cs="Arial"/>
                    </w:rPr>
                    <w:t>Excellent achievement</w:t>
                  </w:r>
                </w:p>
              </w:tc>
              <w:tc>
                <w:tcPr>
                  <w:tcW w:w="2621" w:type="dxa"/>
                  <w:shd w:val="clear" w:color="auto" w:fill="9F218B"/>
                  <w:vAlign w:val="center"/>
                </w:tcPr>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B</w:t>
                  </w:r>
                </w:p>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rPr>
                    <w:t>High achievement</w:t>
                  </w:r>
                </w:p>
              </w:tc>
              <w:tc>
                <w:tcPr>
                  <w:tcW w:w="2620" w:type="dxa"/>
                  <w:shd w:val="clear" w:color="auto" w:fill="9F218B"/>
                  <w:vAlign w:val="center"/>
                </w:tcPr>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C</w:t>
                  </w:r>
                </w:p>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3F5AA0">
                    <w:rPr>
                      <w:rFonts w:cs="Arial"/>
                    </w:rPr>
                    <w:t>Satisfactory achievement</w:t>
                  </w:r>
                </w:p>
              </w:tc>
              <w:tc>
                <w:tcPr>
                  <w:tcW w:w="2621" w:type="dxa"/>
                  <w:shd w:val="clear" w:color="auto" w:fill="9F218B"/>
                  <w:vAlign w:val="center"/>
                </w:tcPr>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D</w:t>
                  </w:r>
                </w:p>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rPr>
                    <w:t>Limited achievement</w:t>
                  </w:r>
                </w:p>
              </w:tc>
              <w:tc>
                <w:tcPr>
                  <w:tcW w:w="2621" w:type="dxa"/>
                  <w:shd w:val="clear" w:color="auto" w:fill="9F218B"/>
                  <w:vAlign w:val="center"/>
                </w:tcPr>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b/>
                      <w:sz w:val="24"/>
                      <w:szCs w:val="24"/>
                    </w:rPr>
                    <w:t>E</w:t>
                  </w:r>
                </w:p>
                <w:p w:rsidR="0077567F" w:rsidRPr="003F5AA0"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3F5AA0">
                    <w:rPr>
                      <w:rFonts w:cs="Arial"/>
                    </w:rPr>
                    <w:t>Very low achievement</w:t>
                  </w:r>
                </w:p>
              </w:tc>
            </w:tr>
            <w:tr w:rsidR="00937DF6" w:rsidRPr="003F5AA0" w:rsidTr="00333E07">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937DF6" w:rsidRPr="003F5AA0" w:rsidRDefault="00937DF6" w:rsidP="00937DF6">
                  <w:pPr>
                    <w:framePr w:hSpace="180" w:wrap="around" w:vAnchor="text" w:hAnchor="margin" w:y="-314"/>
                  </w:pPr>
                  <w:r w:rsidRPr="003F5AA0">
                    <w:t>Systems of language</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Begins to explain how the Indonesian language works</w:t>
                  </w:r>
                  <w:r w:rsidR="004E6D7B" w:rsidRPr="003F5AA0">
                    <w:t>,</w:t>
                  </w:r>
                  <w:r w:rsidRPr="003F5AA0">
                    <w:t xml:space="preserve"> using terms similar to those used in English. </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Begins to describe how the Indonesian language works</w:t>
                  </w:r>
                  <w:r w:rsidR="004E6D7B" w:rsidRPr="003F5AA0">
                    <w:t>,</w:t>
                  </w:r>
                  <w:r w:rsidRPr="003F5AA0">
                    <w:t xml:space="preserve"> using terms similar to those used in English. </w:t>
                  </w:r>
                </w:p>
              </w:tc>
              <w:tc>
                <w:tcPr>
                  <w:tcW w:w="2620"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Begins to describe how the Indonesian language works</w:t>
                  </w:r>
                  <w:r w:rsidR="004E6D7B" w:rsidRPr="003F5AA0">
                    <w:t>,</w:t>
                  </w:r>
                  <w:r w:rsidRPr="003F5AA0">
                    <w:t xml:space="preserve"> using terms similar to those used in English. </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Begins to talk about how the Indonesian language works</w:t>
                  </w:r>
                  <w:r w:rsidR="004E6D7B" w:rsidRPr="003F5AA0">
                    <w:t>,</w:t>
                  </w:r>
                  <w:r w:rsidRPr="003F5AA0">
                    <w:t xml:space="preserve"> with guidance, using terms similar to those used in English. </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rPr>
                      <w:szCs w:val="18"/>
                    </w:rPr>
                    <w:t>Does not meet the requirements of a D grade.</w:t>
                  </w:r>
                </w:p>
              </w:tc>
            </w:tr>
            <w:tr w:rsidR="00937DF6" w:rsidRPr="003F5AA0" w:rsidTr="00333E07">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937DF6" w:rsidRPr="003F5AA0" w:rsidRDefault="00937DF6" w:rsidP="00937DF6">
                  <w:pPr>
                    <w:framePr w:hSpace="180" w:wrap="around" w:vAnchor="text" w:hAnchor="margin" w:y="-314"/>
                  </w:pP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Applies the language features and textual conventions in simple, familiar texts.</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Applies most of the language features and textual conventions in simple, familiar texts.</w:t>
                  </w:r>
                </w:p>
              </w:tc>
              <w:tc>
                <w:tcPr>
                  <w:tcW w:w="2620"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Applies some of the language features and textual conventions in simple, familiar texts.</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t>Applies some of the language features and textual conventions in simple, familiar texts.</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p>
              </w:tc>
            </w:tr>
            <w:tr w:rsidR="00937DF6" w:rsidRPr="003F5AA0" w:rsidTr="00333E07">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937DF6" w:rsidRPr="003F5AA0" w:rsidRDefault="00937DF6" w:rsidP="00937DF6">
                  <w:pPr>
                    <w:framePr w:hSpace="180" w:wrap="around" w:vAnchor="text" w:hAnchor="margin" w:y="-314"/>
                  </w:pPr>
                  <w:r w:rsidRPr="003F5AA0">
                    <w:t>Language variation and change</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rPr>
                      <w:rFonts w:cstheme="minorHAnsi"/>
                    </w:rPr>
                    <w:t>Shows</w:t>
                  </w:r>
                  <w:r w:rsidR="004E6D7B" w:rsidRPr="003F5AA0">
                    <w:rPr>
                      <w:rFonts w:cstheme="minorHAnsi"/>
                    </w:rPr>
                    <w:t>,</w:t>
                  </w:r>
                  <w:r w:rsidRPr="003F5AA0">
                    <w:rPr>
                      <w:rFonts w:cstheme="minorHAnsi"/>
                    </w:rPr>
                    <w:t xml:space="preserve"> with detailed examples</w:t>
                  </w:r>
                  <w:r w:rsidR="004E6D7B" w:rsidRPr="003F5AA0">
                    <w:rPr>
                      <w:rFonts w:cstheme="minorHAnsi"/>
                    </w:rPr>
                    <w:t>,</w:t>
                  </w:r>
                  <w:r w:rsidRPr="003F5AA0">
                    <w:rPr>
                      <w:rFonts w:cstheme="minorHAnsi"/>
                    </w:rPr>
                    <w:t xml:space="preserve"> how language use varies according to the participant, relationships and the context of use.</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rPr>
                      <w:rFonts w:cstheme="minorHAnsi"/>
                    </w:rPr>
                    <w:t>Shows</w:t>
                  </w:r>
                  <w:r w:rsidR="004E6D7B" w:rsidRPr="003F5AA0">
                    <w:rPr>
                      <w:rFonts w:cstheme="minorHAnsi"/>
                    </w:rPr>
                    <w:t>,</w:t>
                  </w:r>
                  <w:r w:rsidRPr="003F5AA0">
                    <w:rPr>
                      <w:rFonts w:cstheme="minorHAnsi"/>
                    </w:rPr>
                    <w:t xml:space="preserve"> with simple examples</w:t>
                  </w:r>
                  <w:r w:rsidR="004E6D7B" w:rsidRPr="003F5AA0">
                    <w:rPr>
                      <w:rFonts w:cstheme="minorHAnsi"/>
                    </w:rPr>
                    <w:t>,</w:t>
                  </w:r>
                  <w:r w:rsidRPr="003F5AA0">
                    <w:rPr>
                      <w:rFonts w:cstheme="minorHAnsi"/>
                    </w:rPr>
                    <w:t xml:space="preserve"> how language use varies according to the participant, relationships and the context of use.</w:t>
                  </w:r>
                </w:p>
              </w:tc>
              <w:tc>
                <w:tcPr>
                  <w:tcW w:w="2620"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rPr>
                      <w:rFonts w:cstheme="minorHAnsi"/>
                    </w:rPr>
                    <w:t>Shows how language use varies according to the participant, relationships and the context of use.</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rPr>
                      <w:rFonts w:cstheme="minorHAnsi"/>
                    </w:rPr>
                    <w:t>Identifies few instances where language use varies according to the participant, relationships and the context of use.</w:t>
                  </w:r>
                </w:p>
              </w:tc>
              <w:tc>
                <w:tcPr>
                  <w:tcW w:w="2621" w:type="dxa"/>
                </w:tcPr>
                <w:p w:rsidR="00937DF6" w:rsidRPr="003F5AA0" w:rsidRDefault="00937DF6" w:rsidP="00937DF6">
                  <w:pPr>
                    <w:cnfStyle w:val="000000000000" w:firstRow="0" w:lastRow="0" w:firstColumn="0" w:lastColumn="0" w:oddVBand="0" w:evenVBand="0" w:oddHBand="0" w:evenHBand="0" w:firstRowFirstColumn="0" w:firstRowLastColumn="0" w:lastRowFirstColumn="0" w:lastRowLastColumn="0"/>
                  </w:pPr>
                  <w:r w:rsidRPr="003F5AA0">
                    <w:rPr>
                      <w:szCs w:val="18"/>
                    </w:rPr>
                    <w:t>Does not meet the requirements of a D grade.</w:t>
                  </w:r>
                </w:p>
              </w:tc>
            </w:tr>
            <w:tr w:rsidR="00937DF6" w:rsidRPr="003F5AA0" w:rsidTr="00937DF6">
              <w:trPr>
                <w:trHeight w:val="452"/>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937DF6" w:rsidRPr="003F5AA0" w:rsidRDefault="00937DF6" w:rsidP="00937DF6">
                  <w:pPr>
                    <w:framePr w:hSpace="180" w:wrap="around" w:vAnchor="text" w:hAnchor="margin" w:y="-314"/>
                  </w:pPr>
                  <w:r w:rsidRPr="003F5AA0">
                    <w:t>Role of language and culture</w:t>
                  </w:r>
                </w:p>
              </w:tc>
              <w:tc>
                <w:tcPr>
                  <w:tcW w:w="2621" w:type="dxa"/>
                  <w:tcBorders>
                    <w:bottom w:val="single" w:sz="4" w:space="0" w:color="9F218B"/>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3F5AA0">
                    <w:t>Identifies and describes the differences between Indonesian, Australian and other cultures’ practices and how these are reflected in language.</w:t>
                  </w:r>
                </w:p>
              </w:tc>
              <w:tc>
                <w:tcPr>
                  <w:tcW w:w="2621" w:type="dxa"/>
                  <w:tcBorders>
                    <w:bottom w:val="single" w:sz="4" w:space="0" w:color="9F218B"/>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3F5AA0">
                    <w:t>Identifies and comments on the differences between Indonesian, Australian and other cultures’ practices and how these are reflected in language.</w:t>
                  </w:r>
                </w:p>
              </w:tc>
              <w:tc>
                <w:tcPr>
                  <w:tcW w:w="2620" w:type="dxa"/>
                  <w:tcBorders>
                    <w:bottom w:val="single" w:sz="4" w:space="0" w:color="9F218B"/>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3F5AA0">
                    <w:t>Identifies the differences between Indonesian, Australian and other cultures’ practices and how these are reflected in language.</w:t>
                  </w:r>
                </w:p>
              </w:tc>
              <w:tc>
                <w:tcPr>
                  <w:tcW w:w="2621" w:type="dxa"/>
                  <w:tcBorders>
                    <w:bottom w:val="single" w:sz="4" w:space="0" w:color="9F218B"/>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3F5AA0">
                    <w:t>Identifies some differences between Indonesian, Australian and other cultures’ practices and how these are reflected in language.</w:t>
                  </w:r>
                </w:p>
              </w:tc>
              <w:tc>
                <w:tcPr>
                  <w:tcW w:w="2621" w:type="dxa"/>
                  <w:tcBorders>
                    <w:bottom w:val="single" w:sz="4" w:space="0" w:color="9F218B"/>
                  </w:tcBorders>
                </w:tcPr>
                <w:p w:rsidR="00937DF6" w:rsidRPr="003F5AA0" w:rsidRDefault="00937DF6" w:rsidP="00937DF6">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3F5AA0">
                    <w:rPr>
                      <w:szCs w:val="18"/>
                    </w:rPr>
                    <w:t>Does not meet the requirements of a D grade.</w:t>
                  </w:r>
                </w:p>
              </w:tc>
            </w:tr>
          </w:tbl>
          <w:p w:rsidR="00886B74" w:rsidRPr="003F5AA0" w:rsidRDefault="00886B74" w:rsidP="00333E07">
            <w:pPr>
              <w:spacing w:before="120" w:after="120"/>
              <w:rPr>
                <w:rFonts w:ascii="Bebas Neue" w:hAnsi="Bebas Neue" w:cs="Arial"/>
                <w:color w:val="3A6DAF"/>
                <w:sz w:val="32"/>
                <w:szCs w:val="32"/>
              </w:rPr>
            </w:pPr>
          </w:p>
        </w:tc>
      </w:tr>
      <w:tr w:rsidR="00886B74" w:rsidRPr="00617F48" w:rsidTr="00333E07">
        <w:trPr>
          <w:trHeight w:val="284"/>
        </w:trPr>
        <w:tc>
          <w:tcPr>
            <w:tcW w:w="16074" w:type="dxa"/>
            <w:shd w:val="clear" w:color="auto" w:fill="auto"/>
          </w:tcPr>
          <w:p w:rsidR="000B2C32" w:rsidRPr="003F5AA0" w:rsidRDefault="000B2C32" w:rsidP="000B2C32">
            <w:pPr>
              <w:shd w:val="clear" w:color="auto" w:fill="FFFFFF"/>
              <w:spacing w:before="120" w:after="120" w:line="276" w:lineRule="auto"/>
              <w:rPr>
                <w:sz w:val="16"/>
                <w:szCs w:val="16"/>
              </w:rPr>
            </w:pPr>
            <w:r w:rsidRPr="003F5AA0">
              <w:rPr>
                <w:sz w:val="16"/>
                <w:szCs w:val="16"/>
              </w:rPr>
              <w:t>© School Curriculum and Standards Authority, 2017</w:t>
            </w:r>
          </w:p>
          <w:p w:rsidR="000B2C32" w:rsidRPr="003F5AA0" w:rsidRDefault="000B2C32" w:rsidP="000B2C32">
            <w:pPr>
              <w:shd w:val="clear" w:color="auto" w:fill="FFFFFF"/>
              <w:spacing w:before="120" w:after="120" w:line="276" w:lineRule="auto"/>
              <w:rPr>
                <w:sz w:val="16"/>
                <w:szCs w:val="16"/>
              </w:rPr>
            </w:pPr>
            <w:r w:rsidRPr="003F5AA0">
              <w:rPr>
                <w:sz w:val="16"/>
                <w:szCs w:val="16"/>
              </w:rPr>
              <w:t xml:space="preserve">This document—apart from any third party copyright material contained in it—may be copied for non-commercial purposes in Western Australian schools, and in schools offering the Western Australian Certificate of Education (WACE), provided that the School Curriculum and Standards Authority is acknowledged as the copyright owner. The document may not be copied for any other purpose. The document—including any third party copyright material contained in </w:t>
            </w:r>
            <w:r w:rsidRPr="003F5AA0">
              <w:rPr>
                <w:sz w:val="16"/>
                <w:szCs w:val="16"/>
              </w:rPr>
              <w:br/>
              <w:t>it—must not be communicated to the public on an intranet, an extranet, or an internet site.</w:t>
            </w:r>
          </w:p>
          <w:p w:rsidR="00886B74" w:rsidRDefault="000B2C32" w:rsidP="000B2C32">
            <w:pPr>
              <w:pStyle w:val="NormalWeb"/>
              <w:spacing w:before="120" w:beforeAutospacing="0" w:after="120" w:afterAutospacing="0"/>
              <w:rPr>
                <w:rFonts w:ascii="Arial" w:hAnsi="Arial" w:cs="Arial"/>
                <w:sz w:val="18"/>
                <w:szCs w:val="18"/>
              </w:rPr>
            </w:pPr>
            <w:r w:rsidRPr="003F5AA0">
              <w:rPr>
                <w:rFonts w:asciiTheme="minorHAnsi" w:hAnsiTheme="minorHAnsi"/>
                <w:sz w:val="16"/>
                <w:szCs w:val="16"/>
              </w:rPr>
              <w:t xml:space="preserve">Any content in this document that has been derived from the Australian Curriculum may be used under the terms of the Creative Commons </w:t>
            </w:r>
            <w:hyperlink r:id="rId10" w:history="1">
              <w:r w:rsidRPr="003F5AA0">
                <w:rPr>
                  <w:rStyle w:val="Hyperlink"/>
                  <w:rFonts w:asciiTheme="minorHAnsi" w:hAnsiTheme="minorHAnsi"/>
                  <w:color w:val="0000FF"/>
                  <w:sz w:val="16"/>
                  <w:szCs w:val="16"/>
                </w:rPr>
                <w:t>Attribution 4.0 International (CC BY)</w:t>
              </w:r>
            </w:hyperlink>
            <w:r w:rsidRPr="003F5AA0">
              <w:rPr>
                <w:rFonts w:asciiTheme="minorHAnsi" w:hAnsiTheme="minorHAnsi"/>
                <w:sz w:val="16"/>
                <w:szCs w:val="16"/>
              </w:rPr>
              <w:t xml:space="preserve"> licence.</w:t>
            </w:r>
          </w:p>
        </w:tc>
      </w:tr>
    </w:tbl>
    <w:p w:rsidR="001B69E6" w:rsidRDefault="001B69E6" w:rsidP="00712679">
      <w:pPr>
        <w:rPr>
          <w:rFonts w:ascii="Arial" w:hAnsi="Arial" w:cs="Arial"/>
          <w:sz w:val="4"/>
          <w:szCs w:val="4"/>
        </w:rPr>
      </w:pPr>
    </w:p>
    <w:sectPr w:rsidR="001B69E6" w:rsidSect="006A2FFA">
      <w:pgSz w:w="16838" w:h="11906" w:orient="landscape"/>
      <w:pgMar w:top="794" w:right="397" w:bottom="397" w:left="567"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0AC5" w:rsidRDefault="00270AC5" w:rsidP="00712679">
      <w:pPr>
        <w:spacing w:after="0" w:line="240" w:lineRule="auto"/>
      </w:pPr>
      <w:r>
        <w:separator/>
      </w:r>
    </w:p>
  </w:endnote>
  <w:endnote w:type="continuationSeparator" w:id="0">
    <w:p w:rsidR="00270AC5" w:rsidRDefault="00270AC5" w:rsidP="00712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0A87" w:usb1="00000000" w:usb2="00000000" w:usb3="00000000" w:csb0="000001BF" w:csb1="00000000"/>
  </w:font>
  <w:font w:name="Courier New">
    <w:panose1 w:val="02070309020205020404"/>
    <w:charset w:val="00"/>
    <w:family w:val="modern"/>
    <w:pitch w:val="fixed"/>
    <w:sig w:usb0="20000A87" w:usb1="00000000" w:usb2="00000000" w:usb3="00000000" w:csb0="000001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0A87" w:usb1="00000000" w:usb2="00000000" w:usb3="00000000" w:csb0="000001BF" w:csb1="00000000"/>
  </w:font>
  <w:font w:name="Bebas Neue">
    <w:altName w:val="Arial"/>
    <w:panose1 w:val="00000000000000000000"/>
    <w:charset w:val="00"/>
    <w:family w:val="swiss"/>
    <w:notTrueType/>
    <w:pitch w:val="variable"/>
    <w:sig w:usb0="00000001" w:usb1="0000004B"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0AC5" w:rsidRDefault="00270AC5" w:rsidP="00712679">
      <w:pPr>
        <w:spacing w:after="0" w:line="240" w:lineRule="auto"/>
      </w:pPr>
      <w:r>
        <w:separator/>
      </w:r>
    </w:p>
  </w:footnote>
  <w:footnote w:type="continuationSeparator" w:id="0">
    <w:p w:rsidR="00270AC5" w:rsidRDefault="00270AC5" w:rsidP="007126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61791"/>
    <w:multiLevelType w:val="hybridMultilevel"/>
    <w:tmpl w:val="6E3A2CD2"/>
    <w:lvl w:ilvl="0" w:tplc="BBF2CBA2">
      <w:start w:val="1"/>
      <w:numFmt w:val="bullet"/>
      <w:lvlText w:val=""/>
      <w:lvlJc w:val="left"/>
      <w:pPr>
        <w:ind w:left="360" w:hanging="360"/>
      </w:pPr>
      <w:rPr>
        <w:rFonts w:ascii="Symbol" w:hAnsi="Symbol" w:hint="default"/>
        <w:sz w:val="20"/>
        <w:szCs w:val="20"/>
      </w:rPr>
    </w:lvl>
    <w:lvl w:ilvl="1" w:tplc="0C090003">
      <w:start w:val="1"/>
      <w:numFmt w:val="bullet"/>
      <w:lvlText w:val="o"/>
      <w:lvlJc w:val="left"/>
      <w:pPr>
        <w:ind w:left="1080" w:hanging="360"/>
      </w:pPr>
      <w:rPr>
        <w:rFonts w:ascii="Courier New" w:hAnsi="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hint="default"/>
      </w:rPr>
    </w:lvl>
    <w:lvl w:ilvl="8" w:tplc="0C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757"/>
    <w:rsid w:val="0000006C"/>
    <w:rsid w:val="00003757"/>
    <w:rsid w:val="0006252F"/>
    <w:rsid w:val="00083432"/>
    <w:rsid w:val="00090531"/>
    <w:rsid w:val="000B2C32"/>
    <w:rsid w:val="000B7EF2"/>
    <w:rsid w:val="000C2332"/>
    <w:rsid w:val="000E765C"/>
    <w:rsid w:val="000F2B03"/>
    <w:rsid w:val="000F45E1"/>
    <w:rsid w:val="001043FE"/>
    <w:rsid w:val="00157DAB"/>
    <w:rsid w:val="001B69E6"/>
    <w:rsid w:val="00211E07"/>
    <w:rsid w:val="00221811"/>
    <w:rsid w:val="00256AA2"/>
    <w:rsid w:val="00270AC5"/>
    <w:rsid w:val="00282238"/>
    <w:rsid w:val="002A1586"/>
    <w:rsid w:val="002D4FAF"/>
    <w:rsid w:val="002D7380"/>
    <w:rsid w:val="0030730D"/>
    <w:rsid w:val="003270B4"/>
    <w:rsid w:val="0033627A"/>
    <w:rsid w:val="00343F31"/>
    <w:rsid w:val="00344AB6"/>
    <w:rsid w:val="003850EF"/>
    <w:rsid w:val="003A00D0"/>
    <w:rsid w:val="003A6540"/>
    <w:rsid w:val="003B4A8E"/>
    <w:rsid w:val="003B50A8"/>
    <w:rsid w:val="003F5AA0"/>
    <w:rsid w:val="00443608"/>
    <w:rsid w:val="00490CD8"/>
    <w:rsid w:val="004935F9"/>
    <w:rsid w:val="004C085F"/>
    <w:rsid w:val="004D2C12"/>
    <w:rsid w:val="004E6D7B"/>
    <w:rsid w:val="00552CBF"/>
    <w:rsid w:val="0055410C"/>
    <w:rsid w:val="00561F5E"/>
    <w:rsid w:val="005A7501"/>
    <w:rsid w:val="005D1199"/>
    <w:rsid w:val="005E3705"/>
    <w:rsid w:val="005F77EB"/>
    <w:rsid w:val="00644537"/>
    <w:rsid w:val="006A1231"/>
    <w:rsid w:val="006A2FFA"/>
    <w:rsid w:val="006B44B5"/>
    <w:rsid w:val="006E1FF9"/>
    <w:rsid w:val="007032C8"/>
    <w:rsid w:val="00712679"/>
    <w:rsid w:val="0072090D"/>
    <w:rsid w:val="00756079"/>
    <w:rsid w:val="0077567F"/>
    <w:rsid w:val="0078375F"/>
    <w:rsid w:val="007C554C"/>
    <w:rsid w:val="007C6E91"/>
    <w:rsid w:val="007E167A"/>
    <w:rsid w:val="00851A32"/>
    <w:rsid w:val="00862098"/>
    <w:rsid w:val="00862450"/>
    <w:rsid w:val="008836CB"/>
    <w:rsid w:val="00886B74"/>
    <w:rsid w:val="008936B7"/>
    <w:rsid w:val="00902143"/>
    <w:rsid w:val="00937DF6"/>
    <w:rsid w:val="00985E57"/>
    <w:rsid w:val="009B4E53"/>
    <w:rsid w:val="00A23A93"/>
    <w:rsid w:val="00A43A26"/>
    <w:rsid w:val="00A512FA"/>
    <w:rsid w:val="00A55270"/>
    <w:rsid w:val="00A87E74"/>
    <w:rsid w:val="00AC004B"/>
    <w:rsid w:val="00AD3864"/>
    <w:rsid w:val="00B34BD8"/>
    <w:rsid w:val="00B44AC5"/>
    <w:rsid w:val="00B6197D"/>
    <w:rsid w:val="00B71566"/>
    <w:rsid w:val="00B74911"/>
    <w:rsid w:val="00B85E18"/>
    <w:rsid w:val="00BE3259"/>
    <w:rsid w:val="00BF329C"/>
    <w:rsid w:val="00C1605F"/>
    <w:rsid w:val="00C27B7E"/>
    <w:rsid w:val="00C672D3"/>
    <w:rsid w:val="00CE13D6"/>
    <w:rsid w:val="00CF3666"/>
    <w:rsid w:val="00D0649A"/>
    <w:rsid w:val="00D42C1F"/>
    <w:rsid w:val="00D877B3"/>
    <w:rsid w:val="00D97A38"/>
    <w:rsid w:val="00DB451F"/>
    <w:rsid w:val="00DC061C"/>
    <w:rsid w:val="00DC0E75"/>
    <w:rsid w:val="00DD2D9A"/>
    <w:rsid w:val="00DE0F0E"/>
    <w:rsid w:val="00DE45C2"/>
    <w:rsid w:val="00DE5DB9"/>
    <w:rsid w:val="00DE76C9"/>
    <w:rsid w:val="00DF6433"/>
    <w:rsid w:val="00E36F62"/>
    <w:rsid w:val="00E400D2"/>
    <w:rsid w:val="00E6337B"/>
    <w:rsid w:val="00E870F6"/>
    <w:rsid w:val="00E91A15"/>
    <w:rsid w:val="00EC3AF0"/>
    <w:rsid w:val="00EE2B16"/>
    <w:rsid w:val="00F12C92"/>
    <w:rsid w:val="00F17EA7"/>
    <w:rsid w:val="00F22288"/>
    <w:rsid w:val="00F24670"/>
    <w:rsid w:val="00F35240"/>
    <w:rsid w:val="00F40502"/>
    <w:rsid w:val="00F51BDA"/>
    <w:rsid w:val="00FA427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7032C8"/>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7032C8"/>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15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creativecommons.org/licenses/by/4.0/"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9EA126-1B70-4602-8819-7D08973C2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1897</Words>
  <Characters>10815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CC</Company>
  <LinksUpToDate>false</LinksUpToDate>
  <CharactersWithSpaces>12687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Lana Hinton</dc:creator>
  <cp:lastModifiedBy>User</cp:lastModifiedBy>
  <cp:revision>2</cp:revision>
  <cp:lastPrinted>2017-05-24T05:10:00Z</cp:lastPrinted>
  <dcterms:created xsi:type="dcterms:W3CDTF">2018-05-09T09:03:00Z</dcterms:created>
  <dcterms:modified xsi:type="dcterms:W3CDTF">2018-05-09T09:03:00Z</dcterms:modified>
</cp:coreProperties>
</file>